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ind w:right="-589.7244094488178"/>
        <w:jc w:val="center"/>
        <w:rPr>
          <w:rFonts w:ascii="Times New Roman" w:cs="Times New Roman" w:eastAsia="Times New Roman" w:hAnsi="Times New Roman"/>
          <w:b w:val="1"/>
          <w:bCs w:val="1"/>
          <w:sz w:val="24"/>
          <w:szCs w:val="24"/>
        </w:rPr>
      </w:pPr>
      <w:bookmarkStart w:colFirst="0" w:colLast="0" w:name="_ik5x8xaap0kb" w:id="0"/>
      <w:bookmarkEnd w:id="0"/>
      <w:r w:rsidDel="00000000" w:rsidR="00000000" w:rsidRPr="00000000">
        <w:rPr>
          <w:rFonts w:ascii="Times New Roman" w:cs="Times New Roman" w:eastAsia="Times New Roman" w:hAnsi="Times New Roman"/>
          <w:b w:val="1"/>
          <w:bCs w:val="1"/>
          <w:i w:val="1"/>
          <w:iCs w:val="1"/>
          <w:color w:val="ff0000"/>
          <w:sz w:val="24"/>
          <w:szCs w:val="24"/>
          <w:rtl w:val="0"/>
        </w:rPr>
        <w:t xml:space="preserve">Dossier SAE 4.GC2F.02 : Analyser la fiabilité d’un projet de reprise d’entreprise</w:t>
      </w: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6105600</wp:posOffset>
            </wp:positionH>
            <wp:positionV relativeFrom="paragraph">
              <wp:posOffset>114300</wp:posOffset>
            </wp:positionV>
            <wp:extent cx="650138" cy="650138"/>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50138" cy="650138"/>
                    </a:xfrm>
                    <a:prstGeom prst="rect"/>
                    <a:ln/>
                  </pic:spPr>
                </pic:pic>
              </a:graphicData>
            </a:graphic>
          </wp:anchor>
        </w:drawing>
      </w:r>
      <w:r w:rsidDel="00000000" w:rsidR="00000000" w:rsidRPr="00000000">
        <w:drawing>
          <wp:anchor allowOverlap="1" behindDoc="1" distB="114300" distT="114300" distL="114300" distR="114300" hidden="0" layoutInCell="1" locked="0" relativeHeight="0" simplePos="0">
            <wp:simplePos x="0" y="0"/>
            <wp:positionH relativeFrom="column">
              <wp:posOffset>-447674</wp:posOffset>
            </wp:positionH>
            <wp:positionV relativeFrom="paragraph">
              <wp:posOffset>114300</wp:posOffset>
            </wp:positionV>
            <wp:extent cx="719837" cy="716813"/>
            <wp:effectExtent b="0" l="0" r="0" t="0"/>
            <wp:wrapNone/>
            <wp:docPr id="2" name="image2.png"/>
            <a:graphic>
              <a:graphicData uri="http://schemas.openxmlformats.org/drawingml/2006/picture">
                <pic:pic>
                  <pic:nvPicPr>
                    <pic:cNvPr id="0" name="image2.png"/>
                    <pic:cNvPicPr preferRelativeResize="0"/>
                  </pic:nvPicPr>
                  <pic:blipFill>
                    <a:blip r:embed="rId7"/>
                    <a:srcRect b="1206" l="1329" r="1138" t="1291"/>
                    <a:stretch>
                      <a:fillRect/>
                    </a:stretch>
                  </pic:blipFill>
                  <pic:spPr>
                    <a:xfrm>
                      <a:off x="0" y="0"/>
                      <a:ext cx="719837" cy="716813"/>
                    </a:xfrm>
                    <a:prstGeom prst="rect"/>
                    <a:ln/>
                  </pic:spPr>
                </pic:pic>
              </a:graphicData>
            </a:graphic>
          </wp:anchor>
        </w:drawing>
      </w:r>
    </w:p>
    <w:p w:rsidR="00000000" w:rsidDel="00000000" w:rsidP="00000000" w:rsidRDefault="00000000" w:rsidRPr="00000000" w14:paraId="00000002">
      <w:pPr>
        <w:ind w:right="-589.7244094488178"/>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rtl w:val="0"/>
        </w:rPr>
        <w:t xml:space="preserve">Réalisé par Alizée MONET, Aliya BAGHDADI et Luckresse NOUMSSI</w:t>
      </w:r>
      <w:r w:rsidDel="00000000" w:rsidR="00000000" w:rsidRPr="00000000">
        <w:rPr>
          <w:rtl w:val="0"/>
        </w:rPr>
      </w:r>
    </w:p>
    <w:p w:rsidR="00000000" w:rsidDel="00000000" w:rsidP="00000000" w:rsidRDefault="00000000" w:rsidRPr="00000000" w14:paraId="00000003">
      <w:pPr>
        <w:spacing w:after="240" w:before="240" w:lineRule="auto"/>
        <w:ind w:right="-589.7244094488178"/>
        <w:rPr>
          <w:rFonts w:ascii="Times New Roman" w:cs="Times New Roman" w:eastAsia="Times New Roman" w:hAnsi="Times New Roman"/>
          <w:b w:val="1"/>
          <w:bCs w:val="1"/>
          <w:i w:val="1"/>
          <w:iCs w:val="1"/>
          <w:color w:val="38761d"/>
          <w:sz w:val="24"/>
          <w:szCs w:val="24"/>
          <w:u w:val="single"/>
        </w:rPr>
      </w:pPr>
      <w:r w:rsidDel="00000000" w:rsidR="00000000" w:rsidRPr="00000000">
        <w:rPr>
          <w:rFonts w:ascii="Times New Roman" w:cs="Times New Roman" w:eastAsia="Times New Roman" w:hAnsi="Times New Roman"/>
          <w:b w:val="1"/>
          <w:bCs w:val="1"/>
          <w:i w:val="1"/>
          <w:iCs w:val="1"/>
          <w:color w:val="38761d"/>
          <w:sz w:val="24"/>
          <w:szCs w:val="24"/>
          <w:u w:val="single"/>
          <w:rtl w:val="0"/>
        </w:rPr>
        <w:t xml:space="preserve">Introduction: </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reprise d’entreprise constitue un enjeu stratégique majeur, nécessitant une analyse approfondie afin d’en garantir la réussite.</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de la SAÉ 4.GC2F.02 : </w:t>
      </w:r>
      <w:r w:rsidDel="00000000" w:rsidR="00000000" w:rsidRPr="00000000">
        <w:rPr>
          <w:rFonts w:ascii="Times New Roman" w:cs="Times New Roman" w:eastAsia="Times New Roman" w:hAnsi="Times New Roman"/>
          <w:i w:val="1"/>
          <w:iCs w:val="1"/>
          <w:color w:val="0d0d0d"/>
          <w:sz w:val="24"/>
          <w:szCs w:val="24"/>
          <w:rtl w:val="0"/>
        </w:rPr>
        <w:t xml:space="preserve">Analyser la fiabilité d’un projet de reprise d’entreprise</w:t>
      </w:r>
      <w:r w:rsidDel="00000000" w:rsidR="00000000" w:rsidRPr="00000000">
        <w:rPr>
          <w:rFonts w:ascii="Times New Roman" w:cs="Times New Roman" w:eastAsia="Times New Roman" w:hAnsi="Times New Roman"/>
          <w:color w:val="0d0d0d"/>
          <w:sz w:val="24"/>
          <w:szCs w:val="24"/>
          <w:rtl w:val="0"/>
        </w:rPr>
        <w:t xml:space="preserve">, notre groupe a été amené à mener une réflexion approfondie autour d’un cas réel. L’objectif de ce travail est d’apprécier la faisabilité économique, financière, juridique et organisationnelle d’un projet de reprise, tout en identifiant les opportunités, les risques et les axes d’amélioration liés à cette opération.</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À l’issue d’une phase de recherche et de sélection fondée sur des critères personnels et professionnels justifiés, notre choix s’est porté sur la SAS Daudruy Van Cauwenberghe, entreprise implantée dans les Hauts-de-France, plus précisément dans la zone industrielle de Petite-Synthe. Elle est spécialisée dans la transformation et le négoce de matières premières oléagineuses. Cette entreprise constitue une cible pertinente à analyser, notamment en raison de son ancienneté, de son ancrage territorial et des enjeux auxquels elle est confrontée dans un environnement économique en constante évolution.</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ce contexte, il convient de se demander dans quelle mesure la reprise de cette entreprise constitue une opportunité viable pour un repreneur.</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travail réalisé vise ainsi à porter une appréciation objective sur les avantages et les risques liés à cette opération. Il nécessite une analyse approfondie, d’autant plus que le cédant ne fournit pas toujours un dossier de transmission complet. Il est donc indispensable de mener un diagnostic indépendant, sans se limiter au point de vue du cédant, afin d’obtenir une vision globale et réaliste de la situation.</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répondre à cette problématique, un diagnostic complet a été mené, portant à la fois sur l’environnement externe (secteur d’activité, marché, contraintes économiques, juridiques et réglementaires) et sur l’environnement interne (stratégie, santé financière, structure juridique et fiscale, moyens de production, ressources humaines et engagements en matière de responsabilité sociétale).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 travail permet d’identifier les forces et les faiblesses de l’entreprise, ainsi que les opportunités et les menaces auxquelles elle est exposée. Il vise également à évaluer l’adéquation entre l’entreprise et le projet de reprise envisagé, à proposer des axes d’amélioration et à poser les bases d’un argumentaire de négociation, notamment en ce qui concerne les modalités et le prix de reprise.</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tl w:val="0"/>
        </w:rPr>
      </w:r>
    </w:p>
    <w:p w:rsidR="00000000" w:rsidDel="00000000" w:rsidP="00000000" w:rsidRDefault="00000000" w:rsidRPr="00000000" w14:paraId="0000000C">
      <w:pPr>
        <w:spacing w:after="240" w:before="240" w:lineRule="auto"/>
        <w:ind w:right="-589.724409448817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after="240" w:before="240" w:lineRule="auto"/>
        <w:ind w:right="-589.7244094488178"/>
        <w:rPr>
          <w:rFonts w:ascii="Times New Roman" w:cs="Times New Roman" w:eastAsia="Times New Roman" w:hAnsi="Times New Roman"/>
          <w:b w:val="1"/>
          <w:bCs w:val="1"/>
          <w:color w:val="38761d"/>
          <w:sz w:val="24"/>
          <w:szCs w:val="24"/>
          <w:u w:val="single"/>
        </w:rPr>
      </w:pPr>
      <w:r w:rsidDel="00000000" w:rsidR="00000000" w:rsidRPr="00000000">
        <w:rPr>
          <w:rFonts w:ascii="Times New Roman" w:cs="Times New Roman" w:eastAsia="Times New Roman" w:hAnsi="Times New Roman"/>
          <w:b w:val="1"/>
          <w:bCs w:val="1"/>
          <w:color w:val="38761d"/>
          <w:sz w:val="24"/>
          <w:szCs w:val="24"/>
          <w:u w:val="single"/>
          <w:rtl w:val="0"/>
        </w:rPr>
        <w:t xml:space="preserve">I- Bien choisir son entreprise à reprendre ? </w:t>
      </w:r>
    </w:p>
    <w:p w:rsidR="00000000" w:rsidDel="00000000" w:rsidP="00000000" w:rsidRDefault="00000000" w:rsidRPr="00000000" w14:paraId="0000000E">
      <w:pPr>
        <w:numPr>
          <w:ilvl w:val="0"/>
          <w:numId w:val="4"/>
        </w:numPr>
        <w:spacing w:after="240" w:before="240" w:lineRule="auto"/>
        <w:ind w:left="720" w:right="-589.7244094488178" w:hanging="360"/>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La présentation du projet de reprise</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de ce dossier, notre groupe s’inscrit dans une démarche d’étude approfondie d’une entreprise en vue d’une éventuelle reprise. À ce stade, il s’agit de déterminer précisément ce qui est repris, selon quelles modalités et dans quelles conditions, afin de poser les bases d’une stratégie de reprise cohérente et réaliste.</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retenue, la SAS Daudruy Van Cauwenberghe, fait l’objet d’une première analyse fondée sur les informations disponibles. Celle-ci repose notamment sur les données financières (bilans et comptes de résultat des derniers exercices), mais également sur les caractéristiques de l’activité, la structure juridique et les éléments liés à la cession envisagée. Lorsque certaines informations ne sont pas accessibles, des recherches complémentaires sont menées afin de garantir la fiabilité de l’analyse.</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Ces premiers éléments permettent d’engager une réflexion sur les conditions générales de la reprise. Selon les intentions du dirigeant actuel et les objectifs du repreneur, plusieurs formes de rachat peuvent être envisagées. Dans ce cas, l’opération s’orienterait vers un rachat de titres de la société, total ou progressif, plutôt qu’un achat de fonds de commerce. Ce choix apparaît pertinent, car il permet de conserver la continuité de l’activité, des contrats en cours, des relations commerciales ainsi que des savoir-faire internes.</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Sur le plan juridique, ce type de reprise soulève plusieurs questions essentielles, notamment la possibilité d’un rachat progressif des titres, la création d’une société holding, la reprise seule ou avec des associés, ainsi que la répartition du capital social. Ces éléments influencent directement la gouvernance, le statut social du repreneur et la fiscalité applicable. Par ailleurs, la mise en place d’une période d’accompagnement par le dirigeant actuel apparaît particulièrement importante. Elle permet de sécuriser la transition, de maintenir les relations commerciales et de faciliter la transmission des compétences clés.</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Sur le plan financier, l’analyse vise à vérifier la cohérence entre le prix de cession envisagé et les capacités financières du repreneur. Il convient de comparer le prix demandé avec la valeur économique réelle de l’entreprise ainsi qu’avec les ressources mobilisables. Différentes solutions de financement peuvent être envisagées, telles qu’un crédit vendeur, une augmentation de capital ou un financement bancaire. Au-delà du prix de reprise, il est également essentiel de s’assurer que le repreneur dispose de moyens suffisants pour financer le développement futur, investir et faire face aux éventuelles difficultés.</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compte tenu des enjeux juridiques, financiers et patrimoniaux liés à une reprise d’entreprise, l’accompagnement par des professionnels (experts-comptables, conseillers juridiques, organismes spécialisés) apparaît indispensable afin de sécuriser l’opération et d’anticiper ses conséquences à long terme.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Cette étape constitue ainsi un élément clé dans l’évaluation de la faisabilité du projet de reprise et dans la maîtrise des risques associés.</w:t>
      </w:r>
      <w:r w:rsidDel="00000000" w:rsidR="00000000" w:rsidRPr="00000000">
        <w:rPr>
          <w:rtl w:val="0"/>
        </w:rPr>
      </w:r>
    </w:p>
    <w:p w:rsidR="00000000" w:rsidDel="00000000" w:rsidP="00000000" w:rsidRDefault="00000000" w:rsidRPr="00000000" w14:paraId="00000016">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7">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8">
      <w:pPr>
        <w:numPr>
          <w:ilvl w:val="0"/>
          <w:numId w:val="4"/>
        </w:numPr>
        <w:spacing w:after="240" w:before="240" w:lineRule="auto"/>
        <w:ind w:left="720" w:right="-589.7244094488178" w:hanging="360"/>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La présentation de notre cible </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276"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SAS Daudruy Van Cauwenberghe a été sélectionnée comme entreprise cible à l’issue d’une réflexion fondée sur des critères de cohérence entre notre projet de reprise et les caractéristiques de l’entreprise. En tant que potentiels repreneurs, nous avons retenu cette société en raison de son positionnement stratégique, de son ancrage territorial dans les Hauts-de-France, ainsi que de la stabilité et de la pérennité de son activité dans le secteur des matières premières oléagineuses.</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276"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entreprise présente plusieurs atouts déterminants au regard de notre projet : une activité industrielle structurée, un savoir-faire reconnu, une clientèle professionnelle diversifiée et des perspectives de développement liées à l’évolution des marchés agroalimentaires et industriels. Sa taille et son niveau d’activité en font une structure suffisamment solide pour envisager une reprise, tout en laissant apparaître des marges de progression et d’adaptation.</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276"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 choix s’inscrit également dans une réflexion plus large portant sur l’adéquation entre notre profil de repreneurs, notre projet entrepreneurial et l’entreprise ciblée. Notre objectif serait de nous inscrire dans une logique de continuité de l’activité, tout en y intégrant une vision de modernisation, d’optimisation des processus et de prise en compte accrue des enjeux environnementaux et sociétaux. Ces orientations apparaissent en adéquation avec les enjeux actuels du secteur d’activité de Daudruy Van Cauwenberghe.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276"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critères de sélection retenus incluent notamment la localisation géographique dans une région à forte tradition industrielle, le secteur d’activité, en lien avec des marchés porteurs mais exigeants, la taille de l’entreprise et son niveau de chiffre d’affaires, sa rentabilité et sa solidité financière, le type de clientèle et la diversité des débouchés, ainsi que les potentialités de croissance et de développement à moyen et long terme.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L’analyse de l’adéquation entre l’entreprise cible, notre projet de reprise et notre positionnement en tant que potentiels repreneurs constitue une étape déterminante. Elle permet d’apporter des éléments de réponse à la question centrale : sommes-nous en capacité de prendre la place du dirigeant actuel et de piloter durablement l’entreprise ? Cette approche constitue un premier gage de sérieux et de professionnalisme dans la construction de notre projet de reprise et dans l’évaluation de sa fiabilité.</w:t>
      </w:r>
      <w:r w:rsidDel="00000000" w:rsidR="00000000" w:rsidRPr="00000000">
        <w:rPr>
          <w:rtl w:val="0"/>
        </w:rPr>
      </w:r>
    </w:p>
    <w:p w:rsidR="00000000" w:rsidDel="00000000" w:rsidP="00000000" w:rsidRDefault="00000000" w:rsidRPr="00000000" w14:paraId="0000001E">
      <w:pPr>
        <w:pStyle w:val="Heading1"/>
        <w:keepNext w:val="0"/>
        <w:keepLines w:val="0"/>
        <w:spacing w:before="480" w:lineRule="auto"/>
        <w:ind w:right="-589.7244094488178"/>
        <w:rPr>
          <w:rFonts w:ascii="Times New Roman" w:cs="Times New Roman" w:eastAsia="Times New Roman" w:hAnsi="Times New Roman"/>
          <w:b w:val="1"/>
          <w:bCs w:val="1"/>
          <w:color w:val="38761d"/>
          <w:sz w:val="24"/>
          <w:szCs w:val="24"/>
          <w:u w:val="single"/>
        </w:rPr>
      </w:pPr>
      <w:bookmarkStart w:colFirst="0" w:colLast="0" w:name="_n7qvxoca54o7" w:id="1"/>
      <w:bookmarkEnd w:id="1"/>
      <w:r w:rsidDel="00000000" w:rsidR="00000000" w:rsidRPr="00000000">
        <w:rPr>
          <w:rFonts w:ascii="Times New Roman" w:cs="Times New Roman" w:eastAsia="Times New Roman" w:hAnsi="Times New Roman"/>
          <w:b w:val="1"/>
          <w:bCs w:val="1"/>
          <w:color w:val="38761d"/>
          <w:sz w:val="24"/>
          <w:szCs w:val="24"/>
          <w:u w:val="single"/>
          <w:rtl w:val="0"/>
        </w:rPr>
        <w:t xml:space="preserve">II – Découverte générale de l’entreprise</w:t>
      </w:r>
    </w:p>
    <w:p w:rsidR="00000000" w:rsidDel="00000000" w:rsidP="00000000" w:rsidRDefault="00000000" w:rsidRPr="00000000" w14:paraId="0000001F">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L’analyse porte sur la SAS Daudruy Van Cauwenberghe à travers l’étude de son identité, de son activité et de son marché, de son histoire et de sa stratégie, de sa gouvernance ainsi que de ses principaux indicateurs économiques et financiers.</w:t>
      </w:r>
    </w:p>
    <w:p w:rsidR="00000000" w:rsidDel="00000000" w:rsidP="00000000" w:rsidRDefault="00000000" w:rsidRPr="00000000" w14:paraId="00000020">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fycrlr3psn06" w:id="2"/>
      <w:bookmarkEnd w:id="2"/>
      <w:r w:rsidDel="00000000" w:rsidR="00000000" w:rsidRPr="00000000">
        <w:rPr>
          <w:rFonts w:ascii="Times New Roman" w:cs="Times New Roman" w:eastAsia="Times New Roman" w:hAnsi="Times New Roman"/>
          <w:b w:val="1"/>
          <w:bCs w:val="1"/>
          <w:color w:val="0000ff"/>
          <w:sz w:val="24"/>
          <w:szCs w:val="24"/>
          <w:rtl w:val="0"/>
        </w:rPr>
        <w:t xml:space="preserve">1. Carte d’identité de l’entreprise</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société ETS CH Daudruy Van Cauwenberghe et Fils est une entreprise industrielle française sous forme de Société par Actions Simplifiée (SAS). Elle est immatriculée au RCS de Dunkerque sous le numéro SIREN 778 114 348 000 15. Son siège social est situé dans la zone industrielle de Petite-Synthe à Dunkerque, juste à côté du port.</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localisation est un vrai avantage pour nous dans une logique de reprise, car elle facilite les approvisionnements et la logistique, ce qui est essentiel dans ce secteur.</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capital social de l’entreprise est de 6 600 000 euros. Concernant le nombre de salariés, les données officielles indiquent entre 10 et 49 salariés, mais lorsque nous nous sommes rendus sur place pour visiter l’entreprise, on a pu constater que l’effectif réel est plus élevé, il s’élève à à peu près 160 salariés. Cet écart s’explique sûrement par le fait que les données publiques ne prennent en compte qu’une partie de l’entreprise. Ça montre bien qu’il faut croiser les sources et ne pas se fier uniquement aux données en ligne.</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est dirigée par Dominique Daudruy, issu de la famille fondatrice, ce qui montre que c’est une entreprise familiale avec une certaine stabilité. C’est un point positif pour la continuité, mais ça peut aussi poser question dans le cadre d’une reprise, notamment par rapport à la dépendance au dirigeant actuel.</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Enfin, le statut de SAS est intéressant pour nous car il offre une certaine flexibilité, notamment pour organiser la reprise (entrée progressive au capital, création d’une holding, etc.).</w:t>
      </w:r>
      <w:r w:rsidDel="00000000" w:rsidR="00000000" w:rsidRPr="00000000">
        <w:rPr>
          <w:rtl w:val="0"/>
        </w:rPr>
      </w:r>
    </w:p>
    <w:p w:rsidR="00000000" w:rsidDel="00000000" w:rsidP="00000000" w:rsidRDefault="00000000" w:rsidRPr="00000000" w14:paraId="00000026">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xhaertgibnn2" w:id="3"/>
      <w:bookmarkEnd w:id="3"/>
      <w:r w:rsidDel="00000000" w:rsidR="00000000" w:rsidRPr="00000000">
        <w:rPr>
          <w:rFonts w:ascii="Times New Roman" w:cs="Times New Roman" w:eastAsia="Times New Roman" w:hAnsi="Times New Roman"/>
          <w:b w:val="1"/>
          <w:bCs w:val="1"/>
          <w:color w:val="0000ff"/>
          <w:sz w:val="24"/>
          <w:szCs w:val="24"/>
          <w:rtl w:val="0"/>
        </w:rPr>
        <w:t xml:space="preserve">2. Activité, offre et marché</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Elle exerce son activité dans le secteur de la transformation, du raffinage et du négoce de matières premières oléagineuses et de matières grasses. Elle s’adresse uniquement à une clientèle professionnelle, notamment dans les secteurs de l’agroalimentaire, de l’industrie chimique, de la cosmétique et des usages techniques.</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L’offre est large et diversifiée, avec des huiles, des graisses raffinées, des acides gras ainsi que des coproduits industriels. Cette diversité représente un avantage pour nous dans une logique de reprise, car elle permet de répondre à des besoins variés et de limiter la dépendance à un seul type de produit ou de client. Elle contribue également à fidéliser la clientèle.</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marché des matières premières oléagineuses est cependant marqué par une forte volatilité, liée aux fluctuations des prix mondiaux, aux conditions climatiques et aux tensions géopolitiques. Cela représente un risque important à prendre en compte, notamment en termes de rentabilité et de gestion des coûts.</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 marché est également très concurrentiel, avec la présence de grands groupes internationaux et d’acteurs spécialisés. Malgré cela, l’entreprise se distingue par son savoir-faire, son ancienneté et son ancrage régional, ce qui constitue un avantage concurrentiel et une barrière à l’entrée pour de nouveaux acteurs.</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cela signifie que l’entreprise repose sur des bases solides, mais évolue dans un environnement instable, ce qui nécessite une bonne capacité d’adaptation et une gestion rigoureuse.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tl w:val="0"/>
        </w:rPr>
      </w:r>
    </w:p>
    <w:p w:rsidR="00000000" w:rsidDel="00000000" w:rsidP="00000000" w:rsidRDefault="00000000" w:rsidRPr="00000000" w14:paraId="0000002D">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pj4vxotxb473" w:id="4"/>
      <w:bookmarkEnd w:id="4"/>
      <w:r w:rsidDel="00000000" w:rsidR="00000000" w:rsidRPr="00000000">
        <w:rPr>
          <w:rFonts w:ascii="Times New Roman" w:cs="Times New Roman" w:eastAsia="Times New Roman" w:hAnsi="Times New Roman"/>
          <w:b w:val="1"/>
          <w:bCs w:val="1"/>
          <w:color w:val="0000ff"/>
          <w:sz w:val="24"/>
          <w:szCs w:val="24"/>
          <w:rtl w:val="0"/>
        </w:rPr>
        <w:t xml:space="preserve">3. Histoire et stratégie de l’entreprise</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Entreprise familiale implantée depuis plusieurs décennies sur le territoire dunkerquois, elle s’est développée progressivement autour de son cœur de métier. Cette évolution s’est faite de manière maîtrisée, en privilégiant la stabilité de l’activité et la durabilité des relations commerciales.</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choix stratégiques ont principalement consisté à sécuriser les approvisionnements, maintenir un outil de production performant et fidéliser une clientèle professionnelle exigeante. Cette approche montre une volonté de limiter les risques et de s’inscrire dans le long terme.</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Aujourd’hui, la stratégie repose davantage sur la consolidation de l’activité existante, avec des perspectives d’évolution liées à la modernisation des équipements, à l’optimisation des processus et à une meilleure prise en compte des enjeux environnementaux.</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cela signifie que l’entreprise s’appuie sur une base solide et une stratégie prudente, mais qu’elle devra probablement évoluer pour rester compétitive, notamment face aux transformations du secteur.</w:t>
      </w:r>
      <w:r w:rsidDel="00000000" w:rsidR="00000000" w:rsidRPr="00000000">
        <w:rPr>
          <w:rtl w:val="0"/>
        </w:rPr>
      </w:r>
    </w:p>
    <w:p w:rsidR="00000000" w:rsidDel="00000000" w:rsidP="00000000" w:rsidRDefault="00000000" w:rsidRPr="00000000" w14:paraId="00000032">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vj43p4b6w46c" w:id="5"/>
      <w:bookmarkEnd w:id="5"/>
      <w:r w:rsidDel="00000000" w:rsidR="00000000" w:rsidRPr="00000000">
        <w:rPr>
          <w:rFonts w:ascii="Times New Roman" w:cs="Times New Roman" w:eastAsia="Times New Roman" w:hAnsi="Times New Roman"/>
          <w:b w:val="1"/>
          <w:bCs w:val="1"/>
          <w:color w:val="0000ff"/>
          <w:sz w:val="24"/>
          <w:szCs w:val="24"/>
          <w:rtl w:val="0"/>
        </w:rPr>
        <w:t xml:space="preserve">4. Répartition du capital social, gouvernance et hommes-clés</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capital social est principalement détenu par Dominique Daudruy ainsi que par des membres de la famille fondatrice. La gouvernance reste donc très centralisée autour du président.</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Dominique Daudruy constitue l’homme clé de l’entreprise, car son rôle est central dans les décisions stratégiques, opérationnelles et commerciales. Une grande partie du fonctionnement de la société repose sur lui, ce qui crée une forte dépendance à sa présence et à son expérience.</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rtl w:val="0"/>
        </w:rPr>
        <w:t xml:space="preserve">Dans une logique de reprise, cette dépendance représente un point de vigilance important. Elle rend nécessaire la mise en place d’une période d’accompagnement afin d’assurer la transmission des savoir-faire, de sécuriser les relations avec les partenaires et de garantir la continuité de l’activité.</w:t>
      </w:r>
      <w:r w:rsidDel="00000000" w:rsidR="00000000" w:rsidRPr="00000000">
        <w:rPr>
          <w:rtl w:val="0"/>
        </w:rPr>
      </w:r>
    </w:p>
    <w:p w:rsidR="00000000" w:rsidDel="00000000" w:rsidP="00000000" w:rsidRDefault="00000000" w:rsidRPr="00000000" w14:paraId="00000036">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ubf3whayj2jb" w:id="6"/>
      <w:bookmarkEnd w:id="6"/>
      <w:r w:rsidDel="00000000" w:rsidR="00000000" w:rsidRPr="00000000">
        <w:rPr>
          <w:rFonts w:ascii="Times New Roman" w:cs="Times New Roman" w:eastAsia="Times New Roman" w:hAnsi="Times New Roman"/>
          <w:b w:val="1"/>
          <w:bCs w:val="1"/>
          <w:color w:val="0000ff"/>
          <w:sz w:val="24"/>
          <w:szCs w:val="24"/>
          <w:rtl w:val="0"/>
        </w:rPr>
        <w:t xml:space="preserve">5. Chiffres-clés et premières tendances économiques et financières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L’analyse des trois derniers exercices montre une évolution contrastée de l’activité. Le chiffre d’affaires est passé d’environ 228 millions d’euros en 2022 à 169 millions d’euros en 2023, puis à environ 160 millions d’euros en 2024. Cette baisse peut s’expliquer par la volatilité du marché des matières premières ainsi que par le contexte économique global.</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Malgré cela, l’entreprise reste rentable, avec un résultat net d’environ 7 millions d’euros en 2024, ce qui montre une bonne maîtrise des charges. La structure financière fait apparaître un actif total d’environ 103 millions d’euros, des capitaux propres de 43,5 millions d’euros et des dettes financières proches de 58,9 millions d’euros. Ce niveau d’endettement reste cohérent pour une activité industrielle, mais il devra être pris en compte dans le financement de la reprise.</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première approche met en avant plusieurs points positifs, comme une activité spécialisée, un savoir-faire reconnu, une rentabilité maintenue et un ancrage territorial fort. En revanche, elle fait ressortir quelques points de vigilance, notamment la baisse récente du chiffre d’affaires, le niveau d’endettement et la dépendance à certains profils clés.</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Ces éléments ne remettent pas forcément en cause le projet de reprise, mais ils montrent qu’un diagnostic plus approfondi reste nécessaire pour évaluer précisément la fiabilité de l’entreprise et les conditions de réussite de la reprise.</w:t>
      </w:r>
      <w:r w:rsidDel="00000000" w:rsidR="00000000" w:rsidRPr="00000000">
        <w:rPr>
          <w:rtl w:val="0"/>
        </w:rPr>
      </w:r>
    </w:p>
    <w:p w:rsidR="00000000" w:rsidDel="00000000" w:rsidP="00000000" w:rsidRDefault="00000000" w:rsidRPr="00000000" w14:paraId="0000003B">
      <w:pPr>
        <w:spacing w:after="240" w:before="240" w:lineRule="auto"/>
        <w:ind w:right="-589.7244094488178"/>
        <w:rPr>
          <w:rFonts w:ascii="Times New Roman" w:cs="Times New Roman" w:eastAsia="Times New Roman" w:hAnsi="Times New Roman"/>
          <w:b w:val="1"/>
          <w:bCs w:val="1"/>
          <w:color w:val="6aa84f"/>
          <w:sz w:val="24"/>
          <w:szCs w:val="24"/>
          <w:u w:val="single"/>
        </w:rPr>
      </w:pPr>
      <w:r w:rsidDel="00000000" w:rsidR="00000000" w:rsidRPr="00000000">
        <w:rPr>
          <w:rFonts w:ascii="Times New Roman" w:cs="Times New Roman" w:eastAsia="Times New Roman" w:hAnsi="Times New Roman"/>
          <w:b w:val="1"/>
          <w:bCs w:val="1"/>
          <w:color w:val="6aa84f"/>
          <w:sz w:val="24"/>
          <w:szCs w:val="24"/>
          <w:u w:val="single"/>
          <w:rtl w:val="0"/>
        </w:rPr>
        <w:t xml:space="preserve">III. Le diagnostic produits, marchés, concurrence</w:t>
      </w:r>
    </w:p>
    <w:p w:rsidR="00000000" w:rsidDel="00000000" w:rsidP="00000000" w:rsidRDefault="00000000" w:rsidRPr="00000000" w14:paraId="0000003C">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 Le diagnostic « produits »</w:t>
      </w:r>
    </w:p>
    <w:p w:rsidR="00000000" w:rsidDel="00000000" w:rsidP="00000000" w:rsidRDefault="00000000" w:rsidRPr="00000000" w14:paraId="0000003D">
      <w:pPr>
        <w:spacing w:after="240" w:before="240" w:lineRule="auto"/>
        <w:ind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1. Identification et analyse de la gamme de produits / services existants</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SAS Daudruy Van Cauwenberghe évolue sur un marché B2B (Business to Business). Elle ne s’adresse pas au grand public, mais à des industriels, en leur fournissant des matières premières transformées. Son activité de raffinage et de transformation s’organise autour de plusieurs grandes familles de produits.</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Tout d’abord, les huiles végétales représentent une part importante de l’activité. L’entreprise propose une large gamme d’huiles raffinées (colza, tournesol, soja, palme, coprah, palmiste), destinées aussi bien à l’industrie agroalimentaire qu’à des usages techniques. Une partie de cette offre est positionnée sur le segment des huiles biologiques, afin de répondre à une demande croissante pour des produits de meilleure qualité.</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Ensuite, l’entreprise valorise des corps gras animaux ainsi que des huiles de poissons. Cette activité s’inscrit dans une logique de transformation de matières spécifiques, avec des débouchés variés selon les secteurs industriels.</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le pôle énergie occupe une place stratégique, notamment à travers la production de biocarburants. Grâce à sa filiale Nord-Ester, elle produit du biodiesel, avec une particularité importante : la capacité à utiliser des matières issues du recyclage, comme les huiles de friture usagées ou les graisses animales. Cela permet de se positionner sur des biocarburants dits “avancés”, en lien avec les enjeux environnementaux actuels.</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dans une logique d’optimisation industrielle, l’entreprise valorise également ses coproduits, comme la glycérine ou les acides gras issus du processus de production. Cette approche permet de limiter les pertes et de maximiser la création de valeur à partir de chaque matière utilisée.</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cette diversité de produits constitue un atout, car elle permet de répartir les risques et de ne pas dépendre d’un seul marché, tout en offrant des possibilités de développement sur des segments à plus forte valeur ajoutée.</w:t>
      </w:r>
    </w:p>
    <w:p w:rsidR="00000000" w:rsidDel="00000000" w:rsidP="00000000" w:rsidRDefault="00000000" w:rsidRPr="00000000" w14:paraId="00000044">
      <w:pPr>
        <w:spacing w:after="240" w:before="240" w:lineRule="auto"/>
        <w:ind w:left="0" w:right="-589.7244094488178"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after="240" w:before="240" w:lineRule="auto"/>
        <w:ind w:right="-589.7244094488178"/>
        <w:rPr>
          <w:rFonts w:ascii="Times New Roman" w:cs="Times New Roman" w:eastAsia="Times New Roman" w:hAnsi="Times New Roman"/>
          <w:b w:val="1"/>
          <w:bCs w:val="1"/>
          <w:color w:val="0000ff"/>
          <w:sz w:val="24"/>
          <w:szCs w:val="24"/>
        </w:rPr>
      </w:pPr>
      <w:r w:rsidDel="00000000" w:rsidR="00000000" w:rsidRPr="00000000">
        <w:rPr>
          <w:rtl w:val="0"/>
        </w:rPr>
      </w:r>
    </w:p>
    <w:p w:rsidR="00000000" w:rsidDel="00000000" w:rsidP="00000000" w:rsidRDefault="00000000" w:rsidRPr="00000000" w14:paraId="00000046">
      <w:pPr>
        <w:spacing w:after="240" w:before="240" w:lineRule="auto"/>
        <w:ind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2. Identification du cycle de vie des produits</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portefeuille de produits est globalement équilibré entre des activités arrivées à maturité et d’autres en développement, ce qui constitue un point positif pour la pérennité de l’entreprise.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huiles végétales alimentaires classiques, comme le tournesol ou la palme, se situent en phase de maturité. Ce sont des marchés stables avec des volumes importants, mais ils sont fortement concurrentiels, ce qui entraîne une pression sur les prix et limite les marges.</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À l’inverse, les biocarburants de deuxième génération, produits à partir de déchets ou de résidus, sont en phase de croissance. Ils bénéficient d’un contexte favorable, notamment grâce aux réglementations européennes et aux enjeux liés à la transition énergétique. Leur demande augmente, car ils permettent une réduction plus importante des émissions que les biocarburants traditionnels.</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certaines huiles à forte valeur ajoutée, comme les huiles biologiques, tracées ou issues de spécialités (ex : chanvre), se situent encore en phase de développement. Il s’agit de marchés de niche, mais avec un potentiel intéressant, notamment auprès d’une clientèle plus exigeante et prête à payer un prix plus élevé.</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Pour nous, cela montre que l’entreprise combine des activités sécurisées (produits matures) avec des relais de croissance, ce qui permet de limiter les risques tout en offrant des perspectives de développement.</w:t>
      </w:r>
      <w:r w:rsidDel="00000000" w:rsidR="00000000" w:rsidRPr="00000000">
        <w:rPr>
          <w:rtl w:val="0"/>
        </w:rPr>
      </w:r>
    </w:p>
    <w:p w:rsidR="00000000" w:rsidDel="00000000" w:rsidP="00000000" w:rsidRDefault="00000000" w:rsidRPr="00000000" w14:paraId="0000004C">
      <w:pPr>
        <w:spacing w:after="240" w:before="240" w:lineRule="auto"/>
        <w:ind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3. Pertinence de la segmentation des produits/ services</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segmentation des produits apparaît pertinente, car elle permet de sécuriser l’activité face aux fluctuations des marchés. En effet, la diversité des activités permet de compenser les baisses éventuelles d’un secteur par les performances d’un autre, notamment entre l’alimentaire et l’énergie.</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organisation est également en adéquation avec les besoins actuels des clients. Les industriels attendent avant tout des garanties en matière de sécurité, de qualité et de traçabilité. L’entreprise répond à ces exigences grâce à une politique de certification rigoureuse (ISCC pour la durabilité, GMP+ pour l’alimentation animale, ainsi que des certifications spécifiques comme halal ou casher). De plus, l’offre sur mesure, notamment le raffinage à façon, permet de s’adapter précisément aux attentes des clients et de renforcer leur fidélité.</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cette segmentation montre une bonne capacité d’anticipation des évolutions du marché. L’orientation vers la valorisation des déchets et les énergies renouvelables s’inscrit pleinement dans les enjeux actuels liés à la transition écologique. Elle permet de répondre aux attentes futures des clients, notamment en matière de réduction de l’empreinte carbone et de respect de l’environnement.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cela constitue un point positif, car l’entreprise est déjà alignée avec les tendances du marché, tout en disposant d’une activité diversifiée qui limite les risques.</w:t>
      </w:r>
      <w:r w:rsidDel="00000000" w:rsidR="00000000" w:rsidRPr="00000000">
        <w:rPr>
          <w:rtl w:val="0"/>
        </w:rPr>
      </w:r>
    </w:p>
    <w:p w:rsidR="00000000" w:rsidDel="00000000" w:rsidP="00000000" w:rsidRDefault="00000000" w:rsidRPr="00000000" w14:paraId="00000051">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2">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b) Le diagnostic « marchés » et « concurrence »</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3">
      <w:pPr>
        <w:spacing w:after="240" w:before="240" w:lineRule="auto"/>
        <w:ind w:left="360"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Analyse Macro-économique (L'environnement global)</w:t>
      </w:r>
    </w:p>
    <w:p w:rsidR="00000000" w:rsidDel="00000000" w:rsidP="00000000" w:rsidRDefault="00000000" w:rsidRPr="00000000" w14:paraId="00000054">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5">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6">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7">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8">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9">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5A">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tl w:val="0"/>
        </w:rPr>
      </w:r>
    </w:p>
    <w:tbl>
      <w:tblPr>
        <w:tblStyle w:val="Table1"/>
        <w:tblW w:w="10890.0" w:type="dxa"/>
        <w:jc w:val="left"/>
        <w:tblInd w:w="-7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1350"/>
        <w:gridCol w:w="6180"/>
        <w:tblGridChange w:id="0">
          <w:tblGrid>
            <w:gridCol w:w="3360"/>
            <w:gridCol w:w="1350"/>
            <w:gridCol w:w="6180"/>
          </w:tblGrid>
        </w:tblGridChange>
      </w:tblGrid>
      <w:tr>
        <w:trPr>
          <w:cantSplit w:val="0"/>
          <w:trHeight w:val="1110" w:hRule="atLeast"/>
          <w:tblHeader w:val="0"/>
        </w:trPr>
        <w:tc>
          <w:tcPr>
            <w:tcBorders>
              <w:top w:color="e97132" w:space="0" w:sz="5" w:val="single"/>
              <w:left w:color="e97132" w:space="0" w:sz="5" w:val="single"/>
              <w:bottom w:color="e97132" w:space="0" w:sz="5" w:val="single"/>
              <w:right w:color="000000" w:space="0" w:sz="0" w:val="nil"/>
            </w:tcBorders>
            <w:shd w:fill="e97132" w:val="clear"/>
            <w:tcMar>
              <w:top w:w="0.0" w:type="dxa"/>
              <w:left w:w="100.0" w:type="dxa"/>
              <w:bottom w:w="0.0" w:type="dxa"/>
              <w:right w:w="100.0" w:type="dxa"/>
            </w:tcMar>
            <w:vAlign w:val="top"/>
          </w:tcPr>
          <w:p w:rsidR="00000000" w:rsidDel="00000000" w:rsidP="00000000" w:rsidRDefault="00000000" w:rsidRPr="00000000" w14:paraId="0000005B">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Facteurf</w:t>
            </w:r>
          </w:p>
        </w:tc>
        <w:tc>
          <w:tcPr>
            <w:tcBorders>
              <w:top w:color="e97132" w:space="0" w:sz="5" w:val="single"/>
              <w:left w:color="000000" w:space="0" w:sz="0" w:val="nil"/>
              <w:bottom w:color="e97132" w:space="0" w:sz="5" w:val="single"/>
              <w:right w:color="000000" w:space="0" w:sz="0" w:val="nil"/>
            </w:tcBorders>
            <w:shd w:fill="e97132" w:val="clear"/>
            <w:tcMar>
              <w:top w:w="0.0" w:type="dxa"/>
              <w:left w:w="100.0" w:type="dxa"/>
              <w:bottom w:w="0.0" w:type="dxa"/>
              <w:right w:w="100.0" w:type="dxa"/>
            </w:tcMar>
            <w:vAlign w:val="top"/>
          </w:tcPr>
          <w:p w:rsidR="00000000" w:rsidDel="00000000" w:rsidP="00000000" w:rsidRDefault="00000000" w:rsidRPr="00000000" w14:paraId="0000005C">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Impact pour Daudruy (Opportunité ou Menace ?)</w:t>
            </w:r>
          </w:p>
        </w:tc>
        <w:tc>
          <w:tcPr>
            <w:tcBorders>
              <w:top w:color="e97132" w:space="0" w:sz="5" w:val="single"/>
              <w:left w:color="000000" w:space="0" w:sz="0" w:val="nil"/>
              <w:bottom w:color="e97132" w:space="0" w:sz="5" w:val="single"/>
              <w:right w:color="e97132" w:space="0" w:sz="5" w:val="single"/>
            </w:tcBorders>
            <w:shd w:fill="e97132" w:val="clear"/>
            <w:tcMar>
              <w:top w:w="0.0" w:type="dxa"/>
              <w:left w:w="100.0" w:type="dxa"/>
              <w:bottom w:w="0.0" w:type="dxa"/>
              <w:right w:w="100.0" w:type="dxa"/>
            </w:tcMar>
            <w:vAlign w:val="top"/>
          </w:tcPr>
          <w:p w:rsidR="00000000" w:rsidDel="00000000" w:rsidP="00000000" w:rsidRDefault="00000000" w:rsidRPr="00000000" w14:paraId="0000005D">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Détails concrets</w:t>
            </w:r>
          </w:p>
        </w:tc>
      </w:tr>
      <w:tr>
        <w:trPr>
          <w:cantSplit w:val="0"/>
          <w:trHeight w:val="1905" w:hRule="atLeast"/>
          <w:tblHeader w:val="0"/>
        </w:trPr>
        <w:tc>
          <w:tcPr>
            <w:tcBorders>
              <w:top w:color="000000" w:space="0" w:sz="0" w:val="nil"/>
              <w:left w:color="f1a983" w:space="0" w:sz="5" w:val="single"/>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 (Politique)</w:t>
            </w:r>
          </w:p>
        </w:tc>
        <w:tc>
          <w:tcPr>
            <w:tcBorders>
              <w:top w:color="000000" w:space="0" w:sz="0" w:val="nil"/>
              <w:left w:color="000000" w:space="0" w:sz="0" w:val="nil"/>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5F">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Opportunité (Majeure)</w:t>
            </w:r>
          </w:p>
        </w:tc>
        <w:tc>
          <w:tcPr>
            <w:tcBorders>
              <w:top w:color="000000" w:space="0" w:sz="0" w:val="nil"/>
              <w:left w:color="000000" w:space="0" w:sz="0" w:val="nil"/>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60">
            <w:pPr>
              <w:spacing w:after="240" w:before="240" w:lineRule="auto"/>
              <w:ind w:left="-1000" w:right="-589.724409448817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Indépendance énergétique :</w:t>
            </w:r>
            <w:r w:rsidDel="00000000" w:rsidR="00000000" w:rsidRPr="00000000">
              <w:rPr>
                <w:rFonts w:ascii="Times New Roman" w:cs="Times New Roman" w:eastAsia="Times New Roman" w:hAnsi="Times New Roman"/>
                <w:sz w:val="24"/>
                <w:szCs w:val="24"/>
                <w:rtl w:val="0"/>
              </w:rPr>
              <w:t xml:space="preserve"> L'État français et l'UE poussent pour produire de l'énergie locale pour éviter de dépendre du pétrole des autres pays.</w:t>
            </w:r>
          </w:p>
          <w:p w:rsidR="00000000" w:rsidDel="00000000" w:rsidP="00000000" w:rsidRDefault="00000000" w:rsidRPr="00000000" w14:paraId="00000061">
            <w:pPr>
              <w:spacing w:after="240" w:before="240" w:lineRule="auto"/>
              <w:ind w:left="-1000" w:right="-589.724409448817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Guerre en Ukraine :</w:t>
            </w:r>
            <w:r w:rsidDel="00000000" w:rsidR="00000000" w:rsidRPr="00000000">
              <w:rPr>
                <w:rFonts w:ascii="Times New Roman" w:cs="Times New Roman" w:eastAsia="Times New Roman" w:hAnsi="Times New Roman"/>
                <w:sz w:val="24"/>
                <w:szCs w:val="24"/>
                <w:rtl w:val="0"/>
              </w:rPr>
              <w:t xml:space="preserve"> A perturbé les importations de Tournesol (menace), mais a renforcé le besoin de produire en France (opportunité).</w:t>
            </w:r>
          </w:p>
        </w:tc>
      </w:tr>
      <w:tr>
        <w:trPr>
          <w:cantSplit w:val="0"/>
          <w:trHeight w:val="3255" w:hRule="atLeast"/>
          <w:tblHeader w:val="0"/>
        </w:trPr>
        <w:tc>
          <w:tcPr>
            <w:tcBorders>
              <w:top w:color="000000" w:space="0" w:sz="0" w:val="nil"/>
              <w:left w:color="f1a983" w:space="0" w:sz="5" w:val="single"/>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 (Économique)</w:t>
            </w:r>
          </w:p>
        </w:tc>
        <w:tc>
          <w:tcPr>
            <w:tcBorders>
              <w:top w:color="000000" w:space="0" w:sz="0" w:val="nil"/>
              <w:left w:color="000000" w:space="0" w:sz="0" w:val="nil"/>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63">
            <w:pPr>
              <w:spacing w:after="240" w:before="240" w:lineRule="auto"/>
              <w:ind w:left="-100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Menace / Risque</w:t>
            </w:r>
          </w:p>
        </w:tc>
        <w:tc>
          <w:tcPr>
            <w:tcBorders>
              <w:top w:color="000000" w:space="0" w:sz="0" w:val="nil"/>
              <w:left w:color="000000" w:space="0" w:sz="0" w:val="nil"/>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64">
            <w:pPr>
              <w:spacing w:after="240" w:before="240" w:lineRule="auto"/>
              <w:ind w:left="-1000" w:right="-589.724409448817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Prix des MP :</w:t>
            </w:r>
            <w:r w:rsidDel="00000000" w:rsidR="00000000" w:rsidRPr="00000000">
              <w:rPr>
                <w:rFonts w:ascii="Times New Roman" w:cs="Times New Roman" w:eastAsia="Times New Roman" w:hAnsi="Times New Roman"/>
                <w:sz w:val="24"/>
                <w:szCs w:val="24"/>
                <w:rtl w:val="0"/>
              </w:rPr>
              <w:t xml:space="preserve"> Le prix des matières premières (Colza, Tournesol) varie énormément sur le marché. Daudruy doit gérer ce risque financier.</w:t>
            </w:r>
          </w:p>
          <w:p w:rsidR="00000000" w:rsidDel="00000000" w:rsidP="00000000" w:rsidRDefault="00000000" w:rsidRPr="00000000" w14:paraId="00000065">
            <w:pPr>
              <w:spacing w:after="240" w:before="240" w:lineRule="auto"/>
              <w:ind w:left="-1000" w:right="-589.724409448817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Inflation :</w:t>
            </w:r>
            <w:r w:rsidDel="00000000" w:rsidR="00000000" w:rsidRPr="00000000">
              <w:rPr>
                <w:rFonts w:ascii="Times New Roman" w:cs="Times New Roman" w:eastAsia="Times New Roman" w:hAnsi="Times New Roman"/>
                <w:sz w:val="24"/>
                <w:szCs w:val="24"/>
                <w:rtl w:val="0"/>
              </w:rPr>
              <w:t xml:space="preserve"> Hausse des coûts de l'énergie (gaz/électricité) nécessaires pour faire tourner l'usine de raffinage.</w:t>
              <w:br w:type="textWrapping"/>
              <w:br w:type="textWrapping"/>
              <w:br w:type="textWrapping"/>
              <w:br w:type="textWrapping"/>
            </w:r>
          </w:p>
          <w:p w:rsidR="00000000" w:rsidDel="00000000" w:rsidP="00000000" w:rsidRDefault="00000000" w:rsidRPr="00000000" w14:paraId="00000066">
            <w:pPr>
              <w:spacing w:after="240" w:before="240" w:lineRule="auto"/>
              <w:ind w:left="-1000" w:right="-589.724409448817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Taux de change :</w:t>
            </w:r>
            <w:r w:rsidDel="00000000" w:rsidR="00000000" w:rsidRPr="00000000">
              <w:rPr>
                <w:rFonts w:ascii="Times New Roman" w:cs="Times New Roman" w:eastAsia="Times New Roman" w:hAnsi="Times New Roman"/>
                <w:sz w:val="24"/>
                <w:szCs w:val="24"/>
                <w:rtl w:val="0"/>
              </w:rPr>
              <w:t xml:space="preserve"> L'euro/autres monnaies (autres pays) influence le prix des huiles.</w:t>
            </w:r>
          </w:p>
        </w:tc>
      </w:tr>
      <w:tr>
        <w:trPr>
          <w:cantSplit w:val="0"/>
          <w:trHeight w:val="3525" w:hRule="atLeast"/>
          <w:tblHeader w:val="0"/>
        </w:trPr>
        <w:tc>
          <w:tcPr>
            <w:tcBorders>
              <w:top w:color="000000" w:space="0" w:sz="0" w:val="nil"/>
              <w:left w:color="f1a983" w:space="0" w:sz="5" w:val="single"/>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67">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S (Sociologique)</w:t>
            </w:r>
          </w:p>
        </w:tc>
        <w:tc>
          <w:tcPr>
            <w:tcBorders>
              <w:top w:color="000000" w:space="0" w:sz="0" w:val="nil"/>
              <w:left w:color="000000" w:space="0" w:sz="0" w:val="nil"/>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68">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 Mixte</w:t>
            </w:r>
          </w:p>
        </w:tc>
        <w:tc>
          <w:tcPr>
            <w:tcBorders>
              <w:top w:color="000000" w:space="0" w:sz="0" w:val="nil"/>
              <w:left w:color="000000" w:space="0" w:sz="0" w:val="nil"/>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69">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Nourriture contre carburant :</w:t>
            </w:r>
            <w:r w:rsidDel="00000000" w:rsidR="00000000" w:rsidRPr="00000000">
              <w:rPr>
                <w:rFonts w:ascii="Times New Roman" w:cs="Times New Roman" w:eastAsia="Times New Roman" w:hAnsi="Times New Roman"/>
                <w:sz w:val="18"/>
                <w:szCs w:val="18"/>
                <w:rtl w:val="0"/>
              </w:rPr>
              <w:t xml:space="preserve"> Débat éthique : « Doit-on mettre de la nourriture dans les moteurs ? » C’est un dilemme portant sur l'utilisation des terres agricoles ou de leur production à des fins de fabrication de biocarburants au détriment de la production alimentaire.</w:t>
            </w:r>
          </w:p>
          <w:p w:rsidR="00000000" w:rsidDel="00000000" w:rsidP="00000000" w:rsidRDefault="00000000" w:rsidRPr="00000000" w14:paraId="0000006A">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Écologie :</w:t>
            </w:r>
            <w:r w:rsidDel="00000000" w:rsidR="00000000" w:rsidRPr="00000000">
              <w:rPr>
                <w:rFonts w:ascii="Times New Roman" w:cs="Times New Roman" w:eastAsia="Times New Roman" w:hAnsi="Times New Roman"/>
                <w:sz w:val="18"/>
                <w:szCs w:val="18"/>
                <w:rtl w:val="0"/>
              </w:rPr>
              <w:t xml:space="preserve"> Les consommateurs veulent des produits durables et recyclés (Opportunité pour leur filière déchets/huiles usagées).</w:t>
            </w:r>
          </w:p>
          <w:p w:rsidR="00000000" w:rsidDel="00000000" w:rsidP="00000000" w:rsidRDefault="00000000" w:rsidRPr="00000000" w14:paraId="0000006B">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Image de l'Huile de Palme :</w:t>
            </w:r>
            <w:r w:rsidDel="00000000" w:rsidR="00000000" w:rsidRPr="00000000">
              <w:rPr>
                <w:rFonts w:ascii="Times New Roman" w:cs="Times New Roman" w:eastAsia="Times New Roman" w:hAnsi="Times New Roman"/>
                <w:sz w:val="18"/>
                <w:szCs w:val="18"/>
                <w:rtl w:val="0"/>
              </w:rPr>
              <w:t xml:space="preserve"> Très mauvaise image publique (déforestation) : Daudruy à certifier, trouver des alternatives.</w:t>
            </w:r>
          </w:p>
        </w:tc>
      </w:tr>
      <w:tr>
        <w:trPr>
          <w:cantSplit w:val="0"/>
          <w:trHeight w:val="2430" w:hRule="atLeast"/>
          <w:tblHeader w:val="0"/>
        </w:trPr>
        <w:tc>
          <w:tcPr>
            <w:tcBorders>
              <w:top w:color="000000" w:space="0" w:sz="0" w:val="nil"/>
              <w:left w:color="f1a983" w:space="0" w:sz="5" w:val="single"/>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6C">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T (Technologique)</w:t>
            </w:r>
          </w:p>
        </w:tc>
        <w:tc>
          <w:tcPr>
            <w:tcBorders>
              <w:top w:color="000000" w:space="0" w:sz="0" w:val="nil"/>
              <w:left w:color="000000" w:space="0" w:sz="0" w:val="nil"/>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6D">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Opportunité</w:t>
            </w:r>
          </w:p>
        </w:tc>
        <w:tc>
          <w:tcPr>
            <w:tcBorders>
              <w:top w:color="000000" w:space="0" w:sz="0" w:val="nil"/>
              <w:left w:color="000000" w:space="0" w:sz="0" w:val="nil"/>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6E">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Biocarburants avancés :</w:t>
            </w:r>
            <w:r w:rsidDel="00000000" w:rsidR="00000000" w:rsidRPr="00000000">
              <w:rPr>
                <w:rFonts w:ascii="Times New Roman" w:cs="Times New Roman" w:eastAsia="Times New Roman" w:hAnsi="Times New Roman"/>
                <w:sz w:val="18"/>
                <w:szCs w:val="18"/>
                <w:rtl w:val="0"/>
              </w:rPr>
              <w:t xml:space="preserve"> Nouvelles technologies permettant de transformer des déchets en carburant haute qualité.</w:t>
            </w:r>
          </w:p>
          <w:p w:rsidR="00000000" w:rsidDel="00000000" w:rsidP="00000000" w:rsidRDefault="00000000" w:rsidRPr="00000000" w14:paraId="0000006F">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Transformation verte :</w:t>
            </w:r>
            <w:r w:rsidDel="00000000" w:rsidR="00000000" w:rsidRPr="00000000">
              <w:rPr>
                <w:rFonts w:ascii="Times New Roman" w:cs="Times New Roman" w:eastAsia="Times New Roman" w:hAnsi="Times New Roman"/>
                <w:sz w:val="18"/>
                <w:szCs w:val="18"/>
                <w:rtl w:val="0"/>
              </w:rPr>
              <w:t xml:space="preserve"> Remplacer le pétrole par des huiles végétales dans la peinture ou les plastiques.</w:t>
            </w:r>
          </w:p>
          <w:p w:rsidR="00000000" w:rsidDel="00000000" w:rsidP="00000000" w:rsidRDefault="00000000" w:rsidRPr="00000000" w14:paraId="00000070">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Menace long terme :</w:t>
            </w:r>
            <w:r w:rsidDel="00000000" w:rsidR="00000000" w:rsidRPr="00000000">
              <w:rPr>
                <w:rFonts w:ascii="Times New Roman" w:cs="Times New Roman" w:eastAsia="Times New Roman" w:hAnsi="Times New Roman"/>
                <w:sz w:val="18"/>
                <w:szCs w:val="18"/>
                <w:rtl w:val="0"/>
              </w:rPr>
              <w:t xml:space="preserve"> La voiture électrique (fin du moteur thermique).</w:t>
            </w:r>
          </w:p>
        </w:tc>
      </w:tr>
      <w:tr>
        <w:trPr>
          <w:cantSplit w:val="0"/>
          <w:trHeight w:val="1635" w:hRule="atLeast"/>
          <w:tblHeader w:val="0"/>
        </w:trPr>
        <w:tc>
          <w:tcPr>
            <w:tcBorders>
              <w:top w:color="000000" w:space="0" w:sz="0" w:val="nil"/>
              <w:left w:color="f1a983" w:space="0" w:sz="5" w:val="single"/>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71">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E (Écologique)</w:t>
            </w:r>
          </w:p>
        </w:tc>
        <w:tc>
          <w:tcPr>
            <w:tcBorders>
              <w:top w:color="000000" w:space="0" w:sz="0" w:val="nil"/>
              <w:left w:color="000000" w:space="0" w:sz="0" w:val="nil"/>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72">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Opportunité</w:t>
            </w:r>
          </w:p>
        </w:tc>
        <w:tc>
          <w:tcPr>
            <w:tcBorders>
              <w:top w:color="000000" w:space="0" w:sz="0" w:val="nil"/>
              <w:left w:color="000000" w:space="0" w:sz="0" w:val="nil"/>
              <w:bottom w:color="f1a983" w:space="0" w:sz="5" w:val="single"/>
              <w:right w:color="f1a983" w:space="0" w:sz="5" w:val="single"/>
            </w:tcBorders>
            <w:shd w:fill="fae2d5" w:val="clear"/>
            <w:tcMar>
              <w:top w:w="0.0" w:type="dxa"/>
              <w:left w:w="100.0" w:type="dxa"/>
              <w:bottom w:w="0.0" w:type="dxa"/>
              <w:right w:w="100.0" w:type="dxa"/>
            </w:tcMar>
            <w:vAlign w:val="top"/>
          </w:tcPr>
          <w:p w:rsidR="00000000" w:rsidDel="00000000" w:rsidP="00000000" w:rsidRDefault="00000000" w:rsidRPr="00000000" w14:paraId="00000073">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Réchauffement climatique :</w:t>
            </w:r>
            <w:r w:rsidDel="00000000" w:rsidR="00000000" w:rsidRPr="00000000">
              <w:rPr>
                <w:rFonts w:ascii="Times New Roman" w:cs="Times New Roman" w:eastAsia="Times New Roman" w:hAnsi="Times New Roman"/>
                <w:sz w:val="18"/>
                <w:szCs w:val="18"/>
                <w:rtl w:val="0"/>
              </w:rPr>
              <w:t xml:space="preserve"> La nécessité de réduire le CO2 favorise le Biodiesel (qui émet moins que le diesel fossile).</w:t>
            </w:r>
          </w:p>
          <w:p w:rsidR="00000000" w:rsidDel="00000000" w:rsidP="00000000" w:rsidRDefault="00000000" w:rsidRPr="00000000" w14:paraId="00000074">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Économie circulaire :</w:t>
            </w:r>
            <w:r w:rsidDel="00000000" w:rsidR="00000000" w:rsidRPr="00000000">
              <w:rPr>
                <w:rFonts w:ascii="Times New Roman" w:cs="Times New Roman" w:eastAsia="Times New Roman" w:hAnsi="Times New Roman"/>
                <w:sz w:val="18"/>
                <w:szCs w:val="18"/>
                <w:rtl w:val="0"/>
              </w:rPr>
              <w:t xml:space="preserve"> Daudruy est un acteur clé du recyclage des déchets graisseux.</w:t>
            </w:r>
          </w:p>
        </w:tc>
      </w:tr>
      <w:tr>
        <w:trPr>
          <w:cantSplit w:val="0"/>
          <w:trHeight w:val="1635" w:hRule="atLeast"/>
          <w:tblHeader w:val="0"/>
        </w:trPr>
        <w:tc>
          <w:tcPr>
            <w:tcBorders>
              <w:top w:color="000000" w:space="0" w:sz="0" w:val="nil"/>
              <w:left w:color="f1a983" w:space="0" w:sz="5" w:val="single"/>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75">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L (Légal)</w:t>
            </w:r>
          </w:p>
        </w:tc>
        <w:tc>
          <w:tcPr>
            <w:tcBorders>
              <w:top w:color="000000" w:space="0" w:sz="0" w:val="nil"/>
              <w:left w:color="000000" w:space="0" w:sz="0" w:val="nil"/>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76">
            <w:pPr>
              <w:spacing w:after="240" w:before="240" w:lineRule="auto"/>
              <w:ind w:left="-1000" w:right="-589.7244094488178" w:firstLine="0"/>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Opportunité (Majeure)</w:t>
            </w:r>
          </w:p>
        </w:tc>
        <w:tc>
          <w:tcPr>
            <w:tcBorders>
              <w:top w:color="000000" w:space="0" w:sz="0" w:val="nil"/>
              <w:left w:color="000000" w:space="0" w:sz="0" w:val="nil"/>
              <w:bottom w:color="f1a983" w:space="0" w:sz="5" w:val="single"/>
              <w:right w:color="f1a983" w:space="0" w:sz="5" w:val="single"/>
            </w:tcBorders>
            <w:tcMar>
              <w:top w:w="0.0" w:type="dxa"/>
              <w:left w:w="100.0" w:type="dxa"/>
              <w:bottom w:w="0.0" w:type="dxa"/>
              <w:right w:w="100.0" w:type="dxa"/>
            </w:tcMar>
            <w:vAlign w:val="top"/>
          </w:tcPr>
          <w:p w:rsidR="00000000" w:rsidDel="00000000" w:rsidP="00000000" w:rsidRDefault="00000000" w:rsidRPr="00000000" w14:paraId="00000077">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Directive Europe :</w:t>
            </w:r>
            <w:r w:rsidDel="00000000" w:rsidR="00000000" w:rsidRPr="00000000">
              <w:rPr>
                <w:rFonts w:ascii="Times New Roman" w:cs="Times New Roman" w:eastAsia="Times New Roman" w:hAnsi="Times New Roman"/>
                <w:sz w:val="18"/>
                <w:szCs w:val="18"/>
                <w:rtl w:val="0"/>
              </w:rPr>
              <w:t xml:space="preserve"> Loi qui OBLIGE les pétroliers à incorporer des énergies renouvelables dans les carburants. C'est le moteur du chiffre d'affaires de Daudruy.</w:t>
            </w:r>
          </w:p>
          <w:p w:rsidR="00000000" w:rsidDel="00000000" w:rsidP="00000000" w:rsidRDefault="00000000" w:rsidRPr="00000000" w14:paraId="00000078">
            <w:pPr>
              <w:spacing w:after="240" w:before="240" w:lineRule="auto"/>
              <w:ind w:left="-1000" w:right="-589.7244094488178"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Traçabilité :</w:t>
            </w:r>
            <w:r w:rsidDel="00000000" w:rsidR="00000000" w:rsidRPr="00000000">
              <w:rPr>
                <w:rFonts w:ascii="Times New Roman" w:cs="Times New Roman" w:eastAsia="Times New Roman" w:hAnsi="Times New Roman"/>
                <w:sz w:val="18"/>
                <w:szCs w:val="18"/>
                <w:rtl w:val="0"/>
              </w:rPr>
              <w:t xml:space="preserve"> Lois strictes sur l'origine des produits (Daudruy est avantagé car très certifié).</w:t>
            </w:r>
          </w:p>
        </w:tc>
      </w:tr>
    </w:tbl>
    <w:p w:rsidR="00000000" w:rsidDel="00000000" w:rsidP="00000000" w:rsidRDefault="00000000" w:rsidRPr="00000000" w14:paraId="00000079">
      <w:pPr>
        <w:spacing w:after="240" w:before="240" w:lineRule="auto"/>
        <w:ind w:left="360"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A">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B">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Analyse Micro-économique (L'entreprise sur son marché)</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évaluer la fiabilité de notre projet de reprise, il est important de comprendre comment l’entreprise se positionne sur son marché et comment elle interagit avec son environnement économique. Présente depuis près de 200 ans à Dunkerque, l’entreprise évolue sur un marché industriel B2B, c’est-à-dire un marché où elle vend uniquement à des professionnels et non à des particuliers. Son activité porte sur le raffinage, l’assemblage et la valorisation de corps gras, qu’ils soient d’origine végétale, animale ou issus du recyclage.</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marché européen des huiles végétales est un marché très important, avec environ 55 millions de tonnes traitées chaque année. Il s’agit d’un marché oligopolistique, c’est-à-dire un marché dominé par quelques très grands groupes face à un grand nombre de clients. Dans ce contexte, l’entreprise ne peut pas rivaliser uniquement sur les volumes ou sur les prix, contrairement aux grands acteurs internationaux. Elle a donc choisi un autre positionnement : la différenciation. Autrement dit, elle se distingue par sa souplesse, sa capacité à faire du sur-mesure, sa réactivité et son savoir-faire technique. Avec environ 50 000 tonnes d’huiles traitées par an, dont près de 2 000 tonnes en bio, et plus de 342 références, elle est capable de répondre à des besoins très variés, aussi bien en vrac qu’en petits conditionnements.</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demande représente un point fort important de son modèle économique, car elle est très diversifiée. Cette diversification limite les risques, puisqu’elle évite de dépendre d’un seul secteur. Plus précisément, la chimie et l’oléochimie représentent environ 36 % de l’activité. Cela en fait le principal débouché de l’entreprise. L’alimentation humaine représente environ 26 %, tout comme l’alimentation animale avec 26 % également. Le secteur du pet food représente environ 11 %, tandis que la cosmétique reste plus marginale avec environ 1 %. Cette répartition montre que l’entreprise est présente sur plusieurs marchés à la fois, ce qui constitue un élément rassurant dans une logique de reprise. Si un secteur ralentit, les autres peuvent compenser en partie.</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demande n’est pas seulement diversifiée par secteur, elle l’est aussi géographiquement. En effet, entre 30 % et 40 % du chiffre d’affaires est réalisé à l’export, principalement en Europe. Cela signifie que l’entreprise ne dépend pas uniquement du marché français, ce qui élargit ses débouchés et renforce sa capacité à résister à une baisse de la demande nationale. En revanche, cela suppose aussi de rester compétitif à l’échelle européenne et de bien maîtriser la logistique.</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clients de l’entreprise ne recherchent pas uniquement un produit standard. Ils attendent aussi des garanties précises en matière de traçabilité, de stabilité, de qualité et de conformité réglementaire. Cela signifie que l’entreprise doit être capable de répondre à des cahiers des charges techniques très précis. C’est justement ce qui lui permet de justifier ses prix et de fidéliser ses clients. Elle ne vend donc pas seulement une huile ou une graisse, mais aussi une solution fiable et adaptée aux besoins industriels de ses clients.</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L’offre de l’entreprise repose sur plusieurs avantages concurrentiels. D’abord, sa localisation à Dunkerque constitue un atout stratégique. Le fait d’être implantée à proximité du port facilite les approvisionnements, les expéditions et plus globalement toute la logistique. Ensuite, elle se distingue par sa capacité à traiter des matières plus complexes que la moyenne, comme les graisses animales ou les huiles de poisson. Ce type de transformation demande un savoir-faire particulier, ce qui renforce sa spécialisation. Enfin, elle valorise l’ensemble de ses matières, y compris les coproduits issus du raffinage, ce qui lui permet de créer de nouvelles sources de revenus et d’améliorer sa rentabilité.</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Un autre élément important de son modèle micro-économique est l’intégration de sa chaîne de valeur. Cela signifie qu’elle ne se contente pas de transformer une matière première pour la revendre, mais qu’elle cherche aussi à sécuriser ses approvisionnements et ses débouchés grâce à des activités complémentaires. Par exemple, certaines structures du groupe permettent de collecter des huiles usagées, d’autres les transforment en biocarburants, et d’autres encore valorisent les déchets organiques en énergie. Cette organisation renforce son autonomie et limite sa dépendance vis-à-vis d’acteurs extérieurs. Pour un repreneur, c’est un point positif, car cela rend le modèle plus solide.</w:t>
      </w:r>
    </w:p>
    <w:p w:rsidR="00000000" w:rsidDel="00000000" w:rsidP="00000000" w:rsidRDefault="00000000" w:rsidRPr="00000000" w14:paraId="00000083">
      <w:pPr>
        <w:spacing w:after="240" w:before="240" w:lineRule="auto"/>
        <w:ind w:left="0" w:right="-589.7244094488178" w:firstLine="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color w:val="0d0d0d"/>
          <w:sz w:val="24"/>
          <w:szCs w:val="24"/>
          <w:rtl w:val="0"/>
        </w:rPr>
        <w:t xml:space="preserve">Malgré ces atouts, plusieurs menaces doivent être prises en compte. La première concerne la volatilité des prix des matières premières. Les cours des huiles, des graines ou des graisses évoluent fortement en fonction du marché mondial, des conditions climatiques ou du contexte géopolitique. Par exemple, le chiffre d’affaires de l’entreprise peut fortement varier selon ces fluctuations, passant d’environ 340 millions d’euros en période normale à plus de 500 millions d’euros en 2023 sous l’effet de l’inflation des matières premières. Cela peut donner une impression de croissance, alors qu’il s’agit surtout d’une hausse des prix. C’est pourquoi il est plus pertinent d’analyser la performance à travers les marges, c’est-à-dire ce que l’entreprise conserve réellement après avoir payé ses coûts.</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Une autre menace importante concerne l’accès aux matières premières recyclées, comme les huiles usagées. Ces ressources sont de plus en plus recherchées, notamment par les grands groupes du secteur énergétique. Il existe donc une forte concurrence pour sécuriser ces approvisionnements. Par exemple, Total Energies a signé en 2025 un contrat de 15 ans avec Quatra pour 60 000 tonnes d’huiles usagées par an, ce qui montre que les grands acteurs cherchent à verrouiller les ressources. La menace ne se situe donc plus seulement au niveau de la vente des produits finis, mais aussi au niveau de l’accès à la matière première elle-même. Pour nous, en tant que repreneurs, c’est un point de vigilance majeur.</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Au final, cette analyse montre que l’entreprise ne se limite pas à une activité classique de raffinage. Elle repose sur un modèle plus large, structuré, diversifié et relativement différenciant. Sa clientèle est variée, son savoir-faire est technique, son implantation est stratégique et son intégration verticale renforce sa solidité. Pour nous, cela en fait une cible sérieuse dans le cadre d’un projet de reprise. En revanche, il faudra être particulièrement attentifs à la sécurisation des approvisionnements et à la gestion des fluctuations du marché, car ce sont deux éléments qui peuvent avoir un impact direct sur la rentabilité future.</w:t>
      </w:r>
      <w:r w:rsidDel="00000000" w:rsidR="00000000" w:rsidRPr="00000000">
        <w:rPr>
          <w:rtl w:val="0"/>
        </w:rPr>
      </w:r>
    </w:p>
    <w:p w:rsidR="00000000" w:rsidDel="00000000" w:rsidP="00000000" w:rsidRDefault="00000000" w:rsidRPr="00000000" w14:paraId="00000086">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 Analyse de la politique commerciale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système de distribution repose sur un circuit court et direct, exclusivement en B2B. Il n’existe pas de points de vente physiques, l’entreprise livrant directement ses produits (huiles, graisses ou biocarburants) aux sites industriels de ses clients (ils disposent de leur camion personnel).</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distribution est principalement physique et implique une logistique lourde. Les livraisons se font en vrac, par camions-citernes, péniches ou navires, notamment grâce à la proximité du port de Dunkerque. Cette organisation constitue un atout important, car elle permet de livrer rapidement en France et en Europe.</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conditions générales de vente s’inscrivent dans un cadre strict entre professionnels. Elles reposent généralement sur des contrats-cadres annuels. Dans le cadre des échanges internationaux, les règles du commerce international sont utilisées afin de définir les responsabilités liées au transport et à l’assurance.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délais de livraison sont un élément clé de la relation client. Ils doivent être très courts, souvent de 24 à 48 heures ou fixés sur des créneaux précis. Un retard de livraison peut avoir des conséquences importantes, notamment l’arrêt de la production chez le client. La localisation géographique constitue donc un avantage stratégique pour répondre à ces exigences.</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force de vente est composée de profils techniques, plutôt que de commerciaux classiques. Ces derniers doivent maîtriser à la fois les aspects techniques des produits (composition des huiles) et les évolutions des prix des matières premières sur les marchés. Ils gèrent un nombre limité de clients, mais avec des volumes et des enjeux financiers importants.</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service après-vente ne correspond pas à une logique classique de réparation, mais à un service qualité. Il intervient en cas de non-conformité des produits. Si un client signale un problème (qualité, acidité, aspect), des analyses sont réalisées en laboratoire afin de vérifier la conformité ou d’apporter une solution.</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satisfaction client est principalement évaluée à travers les certifications détenues par l’entreprise (ISCC, GMP+, ISO, etc.). Ces certifications impliquent des audits réguliers réalisés par des organismes externes. Leur maintien constitue un indicateur de conformité et de satisfaction des clients.</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matière de communication, l’entreprise ne recourt pas à la publicité traditionnelle. Elle s’appuie principalement sur sa réputation, son ancienneté (« depuis 1829 ») et son image de sérieux. Son site internet et sa présence sur LinkedIn servent de vitrine pour valoriser son activité, ses engagements et son actualité.</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politique tarifaire est directement liée aux cours des matières premières. Les prix ne sont pas fixes et évoluent en fonction des fluctuations du marché.</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n’existe pas de politique promotionnelle au sens classique. La différenciation se fait plutôt par la valeur ajoutée, notamment à travers les certifications et la qualité des produits, ce qui permet de justifier des prix plus élevés que ceux de la concurrence standard.</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color w:val="0d0d0d"/>
          <w:sz w:val="24"/>
          <w:szCs w:val="24"/>
          <w:rtl w:val="0"/>
        </w:rPr>
        <w:t xml:space="preserve">Enfin, l’entreprise participe à des salons professionnels internationaux, notamment dans les secteurs de l’énergie, de l’environnement et de l’agroalimentaire, ce qui lui permet de renforcer sa visibilité et de développer son réseau.</w:t>
      </w:r>
      <w:r w:rsidDel="00000000" w:rsidR="00000000" w:rsidRPr="00000000">
        <w:rPr>
          <w:rtl w:val="0"/>
        </w:rPr>
      </w:r>
    </w:p>
    <w:p w:rsidR="00000000" w:rsidDel="00000000" w:rsidP="00000000" w:rsidRDefault="00000000" w:rsidRPr="00000000" w14:paraId="00000092">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 Analyse de la clientèle</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clientèle est composée exclusivement de professionnels (B2B), répartis principalement sur trois grands secteurs : l’alimentation humaine, l’alimentation animale ainsi que les activités liées à l’énergie et aux usages techniques. Il s’agit par exemple d’industriels de l’agroalimentaire (plats préparés), de fabricants d’aliments pour animaux ou encore d’acteurs du secteur pétrolier. Aucun problème particulier n’a été identifié concernant la clientèle.</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répartition du chiffre d’affaires par client est confidentiel, car il s’agit d’une information stratégique. L’entreprise ne divulgue ni la liste de ses clients ni leur poids dans le chiffre d’affaires afin de préserver sa position face à la concurrence.</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besoins des clients vont au-delà du simple produit. Ils recherchent avant tout la sécurité, la fiabilité et des garanties. Les certifications (ISCC, GMP+, Bio, etc.) jouent un rôle essentiel, car elles permettent de prouver que les produits respectent les normes environnementales, sanitaires ou spécifiques. Les clients attendent également une livraison fiable et des produits conformes à leurs exigences techniques.</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modalités de règlement sont classiques dans ce type d’activité, avec des paiements effectués généralement à 60 jours après la livraison. Le suivi des règlements est assuré en interne par le service comptabilité. Étant donné les montants importants en jeu, ce suivi est particulièrement rigoureux, notamment en ce qui concerne les factures et les relances.</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fidélisation de la clientèle repose sur plusieurs éléments, notamment l’ancienneté de l’entreprise (« depuis 1829 »), mais surtout sa capacité à proposer des solutions sur mesure. Elle est capable d’adapter ses produits précisément aux besoins des clients. Une fois qu’un client a trouvé une solution technique adaptée, il a peu d’intérêt à changer de fournisseur, ce qui renforce la fidélité.</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color w:val="0d0d0d"/>
          <w:sz w:val="24"/>
          <w:szCs w:val="24"/>
          <w:rtl w:val="0"/>
        </w:rPr>
        <w:t xml:space="preserve">Enfin, la rentabilité varie selon le type de produits. Les produits spécifiques, comme le bio ou les huiles issues du recyclage, offrent généralement de meilleures marges que les produits standards, pour lesquels la concurrence est plus forte.</w:t>
      </w:r>
      <w:r w:rsidDel="00000000" w:rsidR="00000000" w:rsidRPr="00000000">
        <w:rPr>
          <w:rtl w:val="0"/>
        </w:rPr>
      </w:r>
    </w:p>
    <w:p w:rsidR="00000000" w:rsidDel="00000000" w:rsidP="00000000" w:rsidRDefault="00000000" w:rsidRPr="00000000" w14:paraId="00000099">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 Analyse des fournisseurs</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principaux fournisseurs de l’entreprise se répartissent en deux catégories. D’une part, les agriculteurs et les coopératives agricoles, qui fournissent les graines classiques telles que le colza ou le tournesol. D’autre part, les collecteurs de déchets et les abattoirs, qui fournissent des huiles de friture usagées et des graisses animales, constituant une spécialité importante de l’entreprise dans le recyclage.</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capacité de remplacement de ces fournisseurs varie selon les matières premières. Pour le colza, il s’agit d’un produit standard facilement accessible auprès de nombreuses coopératives en France ou en Europe, ce qui rend ces fournisseurs remplaçables. En revanche, les huiles usagées et les graisses animales sont des ressources plus rares, pour lesquelles la concurrence est forte. Dans ce cas, les fournisseurs sont difficilement remplaçables, ce qui oblige l’entreprise à entretenir des relations solides avec eux.</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choix des fournisseurs repose sur plusieurs critères. Le premier est la certification, qui constitue une exigence essentielle. L’entreprise met en avant des labels comme ISCC et 2BSvs, ce qui implique que les fournisseurs doivent garantir la traçabilité et la durabilité des matières premières. Le second critère concerne la qualité technique des produits : une matière première trop dégradée ou acide entraîne des coûts supplémentaires de raffinage.</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délais de livraison s’inscrivent dans une logique industrielle. L’usine fonctionnant en continu, 24h/24 et 7j/7, les approvisionnements doivent être réguliers afin d’éviter toute interruption de la production. Les livraisons se font principalement par camions complets ou par voie maritime via le port de Dunkerque, ce qui implique une logistique lourde et planifiée à l’avance.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les modalités de paiement ne sont pas communiquées précisément, mais elles s’inscrivent généralement dans les pratiques du secteur, avec des délais de paiement de 30 à 60 jours. Les prix sont quant à eux fortement influencés par les cours mondiaux des matières premières, ce qui limite le pouvoir de négociation des fournisseurs.</w:t>
      </w:r>
    </w:p>
    <w:p w:rsidR="00000000" w:rsidDel="00000000" w:rsidP="00000000" w:rsidRDefault="00000000" w:rsidRPr="00000000" w14:paraId="0000009F">
      <w:pPr>
        <w:spacing w:after="240" w:lineRule="auto"/>
        <w:ind w:left="0" w:right="-589.7244094488178"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0">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 Analyse de la concurrence</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concurrents directs sont les autres acteurs spécialisés dans la trituration, le raffinage des huiles et la production de biocarburants. En France, le principal acteur est le groupe Avril (notamment via Saipol), tandis qu’à l’international, on retrouve de grandes multinationales comme Cargill ou Bunge.</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concurrents indirects sont ceux qui répondent au même besoin mais avec des solutions différentes. Dans le domaine de l’énergie, il s’agit par exemple des producteurs d’électricité ou d’hydrogène, qui pourraient remplacer les biocarburants à long terme. Dans le secteur alimentaire, les importateurs d’huile de palme représentent également une alternative, souvent moins coûteuse.</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plupart des concurrents sont des groupes internationaux de très grande taille, souvent intégrés, c’est-à-dire qu’ils contrôlent toute la chaîne de production, y compris les matières premières. À l’inverse, l’entreprise se positionne comme une ETI familiale, plus petite mais indépendante, ce qui lui donne plus de flexibilité.</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produits proposés sont globalement similaires (huiles raffinées, biodiesel), mais la différenciation se fait sur le positionnement. Les grands groupes privilégient les volumes standardisés, tandis que l’entreprise se distingue par des produits plus techniques, notamment les huiles spécifiques et les matières issues du recyclage.</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L’arrivée de nouveaux concurrents reste limitée en raison de barrières à l’entrée très élevées. Les investissements nécessaires sont importants (construction d’une raffinerie), les contraintes réglementaires sont fortes (normes industrielles et environnementales), et l’accès à des infrastructures logistiques adaptées, comme un port, est difficile et coûteux.</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L’un des principaux avantages concurrentiels repose sur le positionnement dans le recyclage et la chimie verte, en lien avec la valorisation des déchets. Ce positionnement est en adéquation avec les enjeux actuels liés à l’environnement et au développement durable.</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l’entreprise dispose d’une certaine capacité d’adaptation. Son fonctionnement familial lui permet de prendre des décisions relativement rapides et d’investir dans de nouveaux équipements pour s’adapter aux évolutions du marché, notamment en développant le traitement de nouvelles matières comme les graisses animales ou les huiles usagées.</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Pour nous, cela montre que l’entreprise évolue dans un environnement très concurrentiel dominé par de grands groupes, mais qu’elle dispose d’un positionnement différenciant et d’une flexibilité qui peuvent constituer de vrais atouts dans le cadre d’une reprise.</w:t>
      </w:r>
      <w:r w:rsidDel="00000000" w:rsidR="00000000" w:rsidRPr="00000000">
        <w:rPr>
          <w:rtl w:val="0"/>
        </w:rPr>
      </w:r>
    </w:p>
    <w:p w:rsidR="00000000" w:rsidDel="00000000" w:rsidP="00000000" w:rsidRDefault="00000000" w:rsidRPr="00000000" w14:paraId="000000A9">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g) Évaluation des opportunités</w:t>
      </w:r>
      <w:r w:rsidDel="00000000" w:rsidR="00000000" w:rsidRPr="00000000">
        <w:rPr>
          <w:rtl w:val="0"/>
        </w:rPr>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L’un des principaux leviers d’opportunité repose sur le contexte environnemental et réglementaire. L’Union européenne, à travers le Green Deal, vise la neutralité carbone d’ici 2050, ce qui pousse les industries à réduire leurs émissions.</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ce cadre, les directives RED II et RED III (Renewable Energy Directive, </w:t>
      </w:r>
      <w:r w:rsidDel="00000000" w:rsidR="00000000" w:rsidRPr="00000000">
        <w:rPr>
          <w:rFonts w:ascii="Times New Roman" w:cs="Times New Roman" w:eastAsia="Times New Roman" w:hAnsi="Times New Roman"/>
          <w:sz w:val="24"/>
          <w:szCs w:val="24"/>
          <w:rtl w:val="0"/>
        </w:rPr>
        <w:t xml:space="preserve">loi qui oblige les pétroliers à mélanger une part croissante d'énergie renouvelable dans le carburant. C'est un marché garanti par la loi pour le biodiesel de Daudruy</w:t>
      </w:r>
      <w:r w:rsidDel="00000000" w:rsidR="00000000" w:rsidRPr="00000000">
        <w:rPr>
          <w:rFonts w:ascii="Times New Roman" w:cs="Times New Roman" w:eastAsia="Times New Roman" w:hAnsi="Times New Roman"/>
          <w:color w:val="0d0d0d"/>
          <w:sz w:val="24"/>
          <w:szCs w:val="24"/>
          <w:rtl w:val="0"/>
        </w:rPr>
        <w:t xml:space="preserve">) imposent aux acteurs du secteur de l’énergie, notamment les pétroliers, d’intégrer une part croissante d’énergies renouvelables dans les carburants. Concrètement, cela signifie qu’ils doivent incorporer du biodiesel dans leurs produits. Cette obligation légale crée donc un marché sécurisé, ce qui représente une opportunité importante pour l’entreprise.</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le développement de l’économie circulaire renforce cette dynamique. L’objectif est de valoriser les déchets plutôt que de les éliminer. L’entreprise est bien positionnée sur ce point, puisqu’elle transforme des huiles usagées et des graisses animales en énergie. Ce savoir-faire constitue un avantage important, car peu d’acteurs sont capables de le maîtriser.</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contexte géopolitique joue également en faveur de cette activité. Depuis les crises énergétiques récentes, notamment liées à la guerre en Ukraine, la France et l’Europe cherchent à renforcer leur indépendance énergétique. La production locale de biocarburants devient donc stratégique.</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parallèle, la demande en chimie verte se développe. De plus en plus d’industriels cherchent à remplacer les produits issus du pétrole par des alternatives naturelles, notamment dans la cosmétique, les détergents ou les matériaux industriels. Les produits proposés répondent à cette évolution.</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les nouvelles attentes des consommateurs, notamment en matière de produits bio et traçables, représentent aussi une opportunité. Même si cette demande reste sensible au prix, elle permet de dégager de meilleures marges que les produits standards.</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cela montre que l’entreprise évolue dans un environnement porteur, soutenu par des tendances durables, ce qui constitue un point positif pour la pérennité du projet.</w:t>
      </w:r>
      <w:r w:rsidDel="00000000" w:rsidR="00000000" w:rsidRPr="00000000">
        <w:rPr>
          <w:rtl w:val="0"/>
        </w:rPr>
      </w:r>
    </w:p>
    <w:p w:rsidR="00000000" w:rsidDel="00000000" w:rsidP="00000000" w:rsidRDefault="00000000" w:rsidRPr="00000000" w14:paraId="000000B1">
      <w:pP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 Évaluation des menaces</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principal risque économique concerne la forte volatilité des prix des matières premières. L’entreprise achète des graines (colza, tournesol) et des huiles dont les prix évoluent en permanence sur les marchés internationaux. En cas de hausse brutale des prix, liée par exemple à une crise géopolitique ou à des conditions climatiques défavorables, elle peut se retrouver en difficulté si elle ne parvient pas à répercuter cette hausse suffisamment rapidement sur ses prix de vente. Cela peut entraîner une baisse de la rentabilité, voire des pertes.</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Un autre risque important est lié à l’instabilité réglementaire. Le marché des biocarburants dépend fortement des décisions politiques et des obligations imposées par l’Union européenne. Si les règles évoluent, par exemple en remettant en cause l’utilisation de certaines matières premières ou en modifiant les taux d’incorporation, cela pourrait avoir un impact direct et rapide sur l’activité. Cette dépendance aux choix politiques constitue donc une source d’incertitude.</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À plus long terme, l’évolution des modes de transport représente également une menace. La décision européenne d’interdire la vente de véhicules thermiques neufs à partir de 2035 pourrait réduire fortement la demande en biodiesel. Cela oblige l’entreprise à anticiper et à diversifier ses débouchés pour ne pas dépendre uniquement de ce marché.</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concurrence internationale constitue aussi un risque. Les coûts de production en France sont élevés en raison des normes sociales et environnementales. Des producteurs étrangers peuvent proposer des produits similaires à des prix plus bas, notamment à partir d’huile de palme ou de soja, ce qui peut exercer une pression sur les prix du marché.</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la disponibilité des matières premières issues du recyclage devient un enjeu majeur. L’entreprise s’appuie de plus en plus sur les huiles usagées et les graisses animales, mais ces ressources sont limitées et très recherchées. La concurrence pour accéder à ces “gisements” est forte, ce qui peut entraîner une hausse des coûts et des difficultés d’approvisionnement.</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ces éléments montrent que l’entreprise est exposée à plusieurs risques importants, à la fois économiques, réglementaires et stratégiques. Il sera donc essentiel de mettre en place une gestion rigoureuse et d’anticiper ces évolutions pour sécuriser l’activité sur le long terme.</w:t>
      </w:r>
      <w:r w:rsidDel="00000000" w:rsidR="00000000" w:rsidRPr="00000000">
        <w:rPr>
          <w:rtl w:val="0"/>
        </w:rPr>
      </w:r>
    </w:p>
    <w:p w:rsidR="00000000" w:rsidDel="00000000" w:rsidP="00000000" w:rsidRDefault="00000000" w:rsidRPr="00000000" w14:paraId="000000B8">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Résumé </w:t>
      </w:r>
      <w:r w:rsidDel="00000000" w:rsidR="00000000" w:rsidRPr="00000000">
        <w:rPr>
          <w:rFonts w:ascii="Times New Roman" w:cs="Times New Roman" w:eastAsia="Times New Roman" w:hAnsi="Times New Roman"/>
          <w:sz w:val="24"/>
          <w:szCs w:val="24"/>
          <w:rtl w:val="0"/>
        </w:rPr>
        <w:t xml:space="preserve">:</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50"/>
        <w:gridCol w:w="4245"/>
        <w:tblGridChange w:id="0">
          <w:tblGrid>
            <w:gridCol w:w="4650"/>
            <w:gridCol w:w="4245"/>
          </w:tblGrid>
        </w:tblGridChange>
      </w:tblGrid>
      <w:tr>
        <w:trPr>
          <w:cantSplit w:val="0"/>
          <w:trHeight w:val="390" w:hRule="atLeast"/>
          <w:tblHeader w:val="0"/>
        </w:trPr>
        <w:tc>
          <w:tcPr>
            <w:tcBorders>
              <w:top w:color="f6c5ac" w:space="0" w:sz="5" w:val="single"/>
              <w:left w:color="f6c5ac" w:space="0" w:sz="5" w:val="single"/>
              <w:bottom w:color="f1a983" w:space="0" w:sz="10"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B9">
            <w:pPr>
              <w:spacing w:after="160" w:before="240" w:line="276"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FORCES (Strengths)</w:t>
            </w:r>
          </w:p>
        </w:tc>
        <w:tc>
          <w:tcPr>
            <w:tcBorders>
              <w:top w:color="f6c5ac" w:space="0" w:sz="5" w:val="single"/>
              <w:left w:color="000000" w:space="0" w:sz="0" w:val="nil"/>
              <w:bottom w:color="f1a983" w:space="0" w:sz="10"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BA">
            <w:pPr>
              <w:spacing w:after="160" w:before="240" w:line="276"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FAIBLESSES (Weaknesses)</w:t>
            </w:r>
          </w:p>
        </w:tc>
      </w:tr>
      <w:tr>
        <w:trPr>
          <w:cantSplit w:val="0"/>
          <w:trHeight w:val="3615" w:hRule="atLeast"/>
          <w:tblHeader w:val="0"/>
        </w:trPr>
        <w:tc>
          <w:tcPr>
            <w:tcBorders>
              <w:top w:color="000000" w:space="0" w:sz="0" w:val="nil"/>
              <w:left w:color="f6c5ac" w:space="0" w:sz="5" w:val="single"/>
              <w:bottom w:color="f6c5ac" w:space="0" w:sz="5"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BB">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Localisation stratégique : Proximité du Port de Dunkerque (Logistique import/export facile).</w:t>
            </w:r>
          </w:p>
          <w:p w:rsidR="00000000" w:rsidDel="00000000" w:rsidP="00000000" w:rsidRDefault="00000000" w:rsidRPr="00000000" w14:paraId="000000BC">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Savoir-faire historique : Entreprise familiale (1829) avec une expertise unique en raffinage complexe.</w:t>
            </w:r>
          </w:p>
          <w:p w:rsidR="00000000" w:rsidDel="00000000" w:rsidP="00000000" w:rsidRDefault="00000000" w:rsidRPr="00000000" w14:paraId="000000BD">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Certifications (Barrière à l'entrée) : ISCC, 2BSvs, GMP+, Bio. Gage de confiance absolue pour les clients B2B.</w:t>
            </w:r>
          </w:p>
          <w:p w:rsidR="00000000" w:rsidDel="00000000" w:rsidP="00000000" w:rsidRDefault="00000000" w:rsidRPr="00000000" w14:paraId="000000BE">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Flexibilité industrielle : Capacité à traiter des « déchets » (huiles usagées, graisses) que les concurrents ne savent pas toujours valoriser.</w:t>
            </w:r>
          </w:p>
          <w:p w:rsidR="00000000" w:rsidDel="00000000" w:rsidP="00000000" w:rsidRDefault="00000000" w:rsidRPr="00000000" w14:paraId="000000BF">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Diversification : Présence sur 3 marchés (Alimentaire, Technique, Énergie) qui s'équilibrent.</w:t>
            </w:r>
          </w:p>
        </w:tc>
        <w:tc>
          <w:tcPr>
            <w:tcBorders>
              <w:top w:color="000000" w:space="0" w:sz="0" w:val="nil"/>
              <w:left w:color="000000" w:space="0" w:sz="0" w:val="nil"/>
              <w:bottom w:color="f6c5ac" w:space="0" w:sz="5"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C0">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Taille critique : Reste une ETI (Entreprise de Taille Intermédiaire) face aux géants mondiaux (Avril, Cargill). Moins de puissance financière.</w:t>
            </w:r>
          </w:p>
          <w:p w:rsidR="00000000" w:rsidDel="00000000" w:rsidP="00000000" w:rsidRDefault="00000000" w:rsidRPr="00000000" w14:paraId="000000C1">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Dépendance aux fournisseurs : L'usine s'arrête si elle n'a pas de matière première (guerre pour l'accès aux gisements de déchets).</w:t>
            </w:r>
          </w:p>
          <w:p w:rsidR="00000000" w:rsidDel="00000000" w:rsidP="00000000" w:rsidRDefault="00000000" w:rsidRPr="00000000" w14:paraId="000000C2">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Site SEVESO : Contraintes de sécurité très lourdes et coûteuses à gérer.</w:t>
            </w:r>
          </w:p>
          <w:p w:rsidR="00000000" w:rsidDel="00000000" w:rsidP="00000000" w:rsidRDefault="00000000" w:rsidRPr="00000000" w14:paraId="000000C3">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Notoriété faible : Marque inconnue du grand public (B2B strict).</w:t>
            </w:r>
          </w:p>
        </w:tc>
      </w:tr>
      <w:tr>
        <w:trPr>
          <w:cantSplit w:val="0"/>
          <w:trHeight w:val="375" w:hRule="atLeast"/>
          <w:tblHeader w:val="0"/>
        </w:trPr>
        <w:tc>
          <w:tcPr>
            <w:tcBorders>
              <w:top w:color="000000" w:space="0" w:sz="0" w:val="nil"/>
              <w:left w:color="f6c5ac" w:space="0" w:sz="5" w:val="single"/>
              <w:bottom w:color="f6c5ac" w:space="0" w:sz="5"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C4">
            <w:pPr>
              <w:spacing w:after="160" w:before="240" w:line="276"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OPPORTUNITÉS (Opportunities)</w:t>
            </w:r>
          </w:p>
        </w:tc>
        <w:tc>
          <w:tcPr>
            <w:tcBorders>
              <w:top w:color="000000" w:space="0" w:sz="0" w:val="nil"/>
              <w:left w:color="000000" w:space="0" w:sz="0" w:val="nil"/>
              <w:bottom w:color="f6c5ac" w:space="0" w:sz="5"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C5">
            <w:pPr>
              <w:spacing w:after="160" w:before="240" w:line="276"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MENACES (Threats)</w:t>
            </w:r>
          </w:p>
        </w:tc>
      </w:tr>
      <w:tr>
        <w:trPr>
          <w:cantSplit w:val="0"/>
          <w:trHeight w:val="3165" w:hRule="atLeast"/>
          <w:tblHeader w:val="0"/>
        </w:trPr>
        <w:tc>
          <w:tcPr>
            <w:tcBorders>
              <w:top w:color="000000" w:space="0" w:sz="0" w:val="nil"/>
              <w:left w:color="f6c5ac" w:space="0" w:sz="5" w:val="single"/>
              <w:bottom w:color="f6c5ac" w:space="0" w:sz="5"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C6">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Réglementation (Lois) : Directives Européennes (RED II) qui obligent à utiliser du biocarburant.</w:t>
            </w:r>
          </w:p>
          <w:p w:rsidR="00000000" w:rsidDel="00000000" w:rsidP="00000000" w:rsidRDefault="00000000" w:rsidRPr="00000000" w14:paraId="000000C7">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Économie Circulaire : Tendance mondiale au recyclage. Les clients veulent des produits issus de déchets.</w:t>
            </w:r>
          </w:p>
          <w:p w:rsidR="00000000" w:rsidDel="00000000" w:rsidP="00000000" w:rsidRDefault="00000000" w:rsidRPr="00000000" w14:paraId="000000C8">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Souveraineté Énergétique : Volonté de la France de produire son énergie localement (moins d'importations russes/saoudiennes).</w:t>
            </w:r>
          </w:p>
          <w:p w:rsidR="00000000" w:rsidDel="00000000" w:rsidP="00000000" w:rsidRDefault="00000000" w:rsidRPr="00000000" w14:paraId="000000C9">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Nouveaux débouchés : Biocarburants pour l'aviation et le maritime (qui ne peuvent pas passer à l'électrique).</w:t>
            </w:r>
          </w:p>
        </w:tc>
        <w:tc>
          <w:tcPr>
            <w:tcBorders>
              <w:top w:color="000000" w:space="0" w:sz="0" w:val="nil"/>
              <w:left w:color="000000" w:space="0" w:sz="0" w:val="nil"/>
              <w:bottom w:color="f6c5ac" w:space="0" w:sz="5" w:val="single"/>
              <w:right w:color="f6c5ac" w:space="0" w:sz="5" w:val="single"/>
            </w:tcBorders>
            <w:tcMar>
              <w:top w:w="0.0" w:type="dxa"/>
              <w:left w:w="100.0" w:type="dxa"/>
              <w:bottom w:w="0.0" w:type="dxa"/>
              <w:right w:w="100.0" w:type="dxa"/>
            </w:tcMar>
            <w:vAlign w:val="top"/>
          </w:tcPr>
          <w:p w:rsidR="00000000" w:rsidDel="00000000" w:rsidP="00000000" w:rsidRDefault="00000000" w:rsidRPr="00000000" w14:paraId="000000CA">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Volatilité des prix : Les cours du Colza et du Pétrole changent chaque jour en Bourse. Risque financier majeur.</w:t>
            </w:r>
          </w:p>
          <w:p w:rsidR="00000000" w:rsidDel="00000000" w:rsidP="00000000" w:rsidRDefault="00000000" w:rsidRPr="00000000" w14:paraId="000000CB">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Fin du moteur thermique (2035) : L'interdiction des voitures diesel neuves est une menace mortelle à long terme pour le biodiesel classique.</w:t>
            </w:r>
          </w:p>
          <w:p w:rsidR="00000000" w:rsidDel="00000000" w:rsidP="00000000" w:rsidRDefault="00000000" w:rsidRPr="00000000" w14:paraId="000000CC">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Concurrence des importations : Arrivée de biocarburants étrangers moins chers (huile de palme/soja).</w:t>
            </w:r>
          </w:p>
          <w:p w:rsidR="00000000" w:rsidDel="00000000" w:rsidP="00000000" w:rsidRDefault="00000000" w:rsidRPr="00000000" w14:paraId="000000CD">
            <w:pPr>
              <w:spacing w:after="160" w:before="240" w:line="276"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Instabilité fiscale : Changement fréquent des taxes sur les carburants.</w:t>
            </w:r>
          </w:p>
        </w:tc>
      </w:tr>
    </w:tbl>
    <w:p w:rsidR="00000000" w:rsidDel="00000000" w:rsidP="00000000" w:rsidRDefault="00000000" w:rsidRPr="00000000" w14:paraId="000000CE">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F">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240" w:line="373.3344" w:lineRule="auto"/>
        <w:ind w:right="-589.7244094488178"/>
        <w:rPr>
          <w:rFonts w:ascii="Times New Roman" w:cs="Times New Roman" w:eastAsia="Times New Roman" w:hAnsi="Times New Roman"/>
          <w:b w:val="1"/>
          <w:bCs w:val="1"/>
          <w:color w:val="0000ff"/>
          <w:sz w:val="24"/>
          <w:szCs w:val="24"/>
        </w:rPr>
      </w:pPr>
      <w:bookmarkStart w:colFirst="0" w:colLast="0" w:name="_rre7hgydsgfs" w:id="7"/>
      <w:bookmarkEnd w:id="7"/>
      <w:r w:rsidDel="00000000" w:rsidR="00000000" w:rsidRPr="00000000">
        <w:rPr>
          <w:rFonts w:ascii="Times New Roman" w:cs="Times New Roman" w:eastAsia="Times New Roman" w:hAnsi="Times New Roman"/>
          <w:b w:val="1"/>
          <w:bCs w:val="1"/>
          <w:color w:val="0000ff"/>
          <w:sz w:val="24"/>
          <w:szCs w:val="24"/>
          <w:rtl w:val="0"/>
        </w:rPr>
        <w:t xml:space="preserve">1) Nouvelle vision et défis à relever</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nouvelle vision consiste à transformer l’entreprise pour qu’elle ne soit plus perçue uniquement comme un simple raffineur d’huile, mais comme un acteur majeur de la valorisation des déchets en énergie verte à l’échelle européenne.</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évolution implique de relever plusieurs défis importants. Le premier concerne la fin progressive du diesel, notamment avec l’objectif européen d’arrêter les véhicules thermiques à horizon 2035. Il devient donc essentiel de trouver de nouveaux débouchés, en particulier dans des secteurs qui ne peuvent pas facilement être électrifiés, comme l’aviation ou le transport maritime.</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Un autre défi majeur concerne l’accès aux matières premières issues du recyclage. Les huiles usagées et les graisses animales sont de plus en plus recherchées, ce qui crée une forte concurrence. Il devient donc stratégique de sécuriser ses approvisionnements pour garantir la continuité de l’activité.</w:t>
      </w:r>
      <w:r w:rsidDel="00000000" w:rsidR="00000000" w:rsidRPr="00000000">
        <w:rPr>
          <w:rtl w:val="0"/>
        </w:rPr>
      </w:r>
    </w:p>
    <w:p w:rsidR="00000000" w:rsidDel="00000000" w:rsidP="00000000" w:rsidRDefault="00000000" w:rsidRPr="00000000" w14:paraId="000000D3">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000ff"/>
          <w:sz w:val="24"/>
          <w:szCs w:val="24"/>
        </w:rPr>
      </w:pPr>
      <w:bookmarkStart w:colFirst="0" w:colLast="0" w:name="_ebf5s58uaw4z" w:id="8"/>
      <w:bookmarkEnd w:id="8"/>
      <w:r w:rsidDel="00000000" w:rsidR="00000000" w:rsidRPr="00000000">
        <w:rPr>
          <w:rFonts w:ascii="Times New Roman" w:cs="Times New Roman" w:eastAsia="Times New Roman" w:hAnsi="Times New Roman"/>
          <w:b w:val="1"/>
          <w:bCs w:val="1"/>
          <w:color w:val="0000ff"/>
          <w:sz w:val="24"/>
          <w:szCs w:val="24"/>
          <w:rtl w:val="0"/>
        </w:rPr>
        <w:t xml:space="preserve">2) Les innovations à mettre en place</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Plusieurs axes d’innovation peuvent être envisagés.</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Tout d’abord, le développement de nouveaux produits représente un levier majeur, notamment avec les biocarburants destinés à l’aviation. Ce type de carburant constitue une alternative crédible, car le transport aérien ne pourra pas facilement basculer vers l’électrique. Adapter les installations pour répondre à cette demande apparaît donc stratégique.</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Ensuite, la chimie verte offre des perspectives intéressantes. Il s’agit de produire des alternatives aux produits issus du pétrole, notamment pour les plastiques, les peintures ou les cosmétiques. Cela permet de diversifier les débouchés et de réduire la dépendance au secteur énergétique.</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Sur le plan technologique, des investissements dans des unités de prétraitement plus performantes seraient nécessaires. L’objectif est de pouvoir traiter des déchets de qualité plus faible (huiles très dégradées, graisses complexes) afin d’élargir les sources d’approvisionnement.</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une optimisation des coûts peut être envisagée à travers une meilleure autonomie énergétique. L’utilisation des coproduits pour produire de l’énergie (chaleur, électricité) permettrait de réduire la dépendance aux énergies externes, notamment le gaz.</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Enfin, une évolution de la cible de marché apparaît nécessaire. L’entreprise pourrait progressivement réduire sa dépendance au secteur automobile pour se repositionner davantage sur le transport maritime et aérien.</w:t>
      </w:r>
      <w:r w:rsidDel="00000000" w:rsidR="00000000" w:rsidRPr="00000000">
        <w:rPr>
          <w:rtl w:val="0"/>
        </w:rPr>
      </w:r>
    </w:p>
    <w:p w:rsidR="00000000" w:rsidDel="00000000" w:rsidP="00000000" w:rsidRDefault="00000000" w:rsidRPr="00000000" w14:paraId="000000DA">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000ff"/>
          <w:sz w:val="24"/>
          <w:szCs w:val="24"/>
        </w:rPr>
      </w:pPr>
      <w:bookmarkStart w:colFirst="0" w:colLast="0" w:name="_wlgbsfb5sbbg" w:id="9"/>
      <w:bookmarkEnd w:id="9"/>
      <w:r w:rsidDel="00000000" w:rsidR="00000000" w:rsidRPr="00000000">
        <w:rPr>
          <w:rFonts w:ascii="Times New Roman" w:cs="Times New Roman" w:eastAsia="Times New Roman" w:hAnsi="Times New Roman"/>
          <w:b w:val="1"/>
          <w:bCs w:val="1"/>
          <w:color w:val="0000ff"/>
          <w:sz w:val="24"/>
          <w:szCs w:val="24"/>
          <w:rtl w:val="0"/>
        </w:rPr>
        <w:t xml:space="preserve">3) Évolution du business model</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modèle actuel repose principalement sur une logique classique : achat de matières premières, transformation, puis vente en volume. Ce modèle est fortement dépendant des prix du marché.</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Une évolution possible consisterait à passer d’une logique de vente de produit à une logique de service. L’entreprise pourrait proposer une solution globale de décarbonation à ses clients. Par exemple, elle pourrait récupérer leurs déchets, les transformer, puis les revendre sous forme d’énergie.</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Ce modèle permettrait de créer davantage de valeur, de renforcer la relation client et de se différencier de la concurrence, en proposant une offre plus complète et moins dépendante des fluctuations des prix des matières premières.</w:t>
      </w:r>
      <w:r w:rsidDel="00000000" w:rsidR="00000000" w:rsidRPr="00000000">
        <w:rPr>
          <w:rtl w:val="0"/>
        </w:rPr>
      </w:r>
    </w:p>
    <w:p w:rsidR="00000000" w:rsidDel="00000000" w:rsidP="00000000" w:rsidRDefault="00000000" w:rsidRPr="00000000" w14:paraId="000000DE">
      <w:pPr>
        <w:spacing w:after="240" w:before="240" w:lineRule="auto"/>
        <w:ind w:right="-589.7244094488178"/>
        <w:rPr>
          <w:rFonts w:ascii="Times New Roman" w:cs="Times New Roman" w:eastAsia="Times New Roman" w:hAnsi="Times New Roman"/>
          <w:b w:val="1"/>
          <w:bCs w:val="1"/>
          <w:color w:val="38761d"/>
          <w:sz w:val="24"/>
          <w:szCs w:val="24"/>
          <w:u w:val="single"/>
        </w:rPr>
      </w:pPr>
      <w:r w:rsidDel="00000000" w:rsidR="00000000" w:rsidRPr="00000000">
        <w:rPr>
          <w:rFonts w:ascii="Times New Roman" w:cs="Times New Roman" w:eastAsia="Times New Roman" w:hAnsi="Times New Roman"/>
          <w:b w:val="1"/>
          <w:bCs w:val="1"/>
          <w:color w:val="38761d"/>
          <w:sz w:val="24"/>
          <w:szCs w:val="24"/>
          <w:u w:val="single"/>
          <w:rtl w:val="0"/>
        </w:rPr>
        <w:t xml:space="preserve">IV- Le diagnostic comptable et financier </w:t>
      </w:r>
    </w:p>
    <w:p w:rsidR="00000000" w:rsidDel="00000000" w:rsidP="00000000" w:rsidRDefault="00000000" w:rsidRPr="00000000" w14:paraId="000000DF">
      <w:pPr>
        <w:pStyle w:val="Heading3"/>
        <w:keepNext w:val="0"/>
        <w:keepLines w:val="0"/>
        <w:spacing w:before="280" w:lineRule="auto"/>
        <w:ind w:right="-589.7244094488178"/>
        <w:rPr>
          <w:rFonts w:ascii="Times New Roman" w:cs="Times New Roman" w:eastAsia="Times New Roman" w:hAnsi="Times New Roman"/>
          <w:b w:val="1"/>
          <w:bCs w:val="1"/>
          <w:color w:val="0000ff"/>
          <w:sz w:val="24"/>
          <w:szCs w:val="24"/>
        </w:rPr>
      </w:pPr>
      <w:bookmarkStart w:colFirst="0" w:colLast="0" w:name="_lbgmc5biawjl" w:id="10"/>
      <w:bookmarkEnd w:id="10"/>
      <w:r w:rsidDel="00000000" w:rsidR="00000000" w:rsidRPr="00000000">
        <w:rPr>
          <w:rFonts w:ascii="Times New Roman" w:cs="Times New Roman" w:eastAsia="Times New Roman" w:hAnsi="Times New Roman"/>
          <w:b w:val="1"/>
          <w:bCs w:val="1"/>
          <w:color w:val="0000ff"/>
          <w:sz w:val="24"/>
          <w:szCs w:val="24"/>
          <w:rtl w:val="0"/>
        </w:rPr>
        <w:t xml:space="preserve">1. Analyse de l’activité et de la rentabilité</w:t>
      </w:r>
    </w:p>
    <w:p w:rsidR="00000000" w:rsidDel="00000000" w:rsidP="00000000" w:rsidRDefault="00000000" w:rsidRPr="00000000" w14:paraId="000000E0">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L’analyse du compte de résultat sur les trois dernières années met en évidence une évolution contrastée de l’activité de l’entreprise Daudruy.</w:t>
      </w:r>
    </w:p>
    <w:p w:rsidR="00000000" w:rsidDel="00000000" w:rsidP="00000000" w:rsidRDefault="00000000" w:rsidRPr="00000000" w14:paraId="000000E1">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En effet, le chiffre d’affaires diminue de manière progressive, passant de 228,5 M€ en N-2 à 159,6 M€ en N . Lors de nos échanges, il nous a été expliqué que cette baisse s’inscrit dans un contexte particulier, “marqué par une forte volatilité des prix dans le secteur”. L’année N-2 était une période exceptionnelle, ce qui permet de relativiser la diminution observée par la suite.</w:t>
      </w:r>
    </w:p>
    <w:p w:rsidR="00000000" w:rsidDel="00000000" w:rsidP="00000000" w:rsidRDefault="00000000" w:rsidRPr="00000000" w14:paraId="000000E2">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Cependant, l’analyse ne doit pas se limiter à l’évolution du chiffre d’affaires. En s’appuyant sur les Soldes Intermédiaires de Gestion que nous avons réalisés, on observe une amélioration significative de la performance de l’entreprise.</w:t>
      </w:r>
    </w:p>
    <w:p w:rsidR="00000000" w:rsidDel="00000000" w:rsidP="00000000" w:rsidRDefault="00000000" w:rsidRPr="00000000" w14:paraId="000000E3">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En effet :</w:t>
      </w:r>
    </w:p>
    <w:p w:rsidR="00000000" w:rsidDel="00000000" w:rsidP="00000000" w:rsidRDefault="00000000" w:rsidRPr="00000000" w14:paraId="000000E4">
      <w:pPr>
        <w:pStyle w:val="Heading2"/>
        <w:keepNext w:val="0"/>
        <w:keepLines w:val="0"/>
        <w:numPr>
          <w:ilvl w:val="0"/>
          <w:numId w:val="13"/>
        </w:numPr>
        <w:spacing w:after="0" w:afterAutospacing="0" w:before="240" w:lineRule="auto"/>
        <w:ind w:left="720" w:right="-589.7244094488178" w:hanging="360"/>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le résultat d’exploitation passe de 8,06 M€ à 15,24 M€,</w:t>
      </w:r>
    </w:p>
    <w:p w:rsidR="00000000" w:rsidDel="00000000" w:rsidP="00000000" w:rsidRDefault="00000000" w:rsidRPr="00000000" w14:paraId="000000E5">
      <w:pPr>
        <w:pStyle w:val="Heading2"/>
        <w:keepNext w:val="0"/>
        <w:keepLines w:val="0"/>
        <w:numPr>
          <w:ilvl w:val="0"/>
          <w:numId w:val="13"/>
        </w:numPr>
        <w:spacing w:after="240" w:before="0" w:beforeAutospacing="0" w:lineRule="auto"/>
        <w:ind w:left="720" w:right="-589.7244094488178" w:hanging="360"/>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le résultat net progresse de 4,24 M€ à 7,03 M€</w:t>
      </w:r>
    </w:p>
    <w:p w:rsidR="00000000" w:rsidDel="00000000" w:rsidP="00000000" w:rsidRDefault="00000000" w:rsidRPr="00000000" w14:paraId="000000E6">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Nos SIG montrent également une progression de la valeur ajoutée et de l’EBE, ce qui montre une meilleure maîtrise des charges et une optimisation du fonctionnement global de l’entreprise.</w:t>
      </w:r>
    </w:p>
    <w:p w:rsidR="00000000" w:rsidDel="00000000" w:rsidP="00000000" w:rsidRDefault="00000000" w:rsidRPr="00000000" w14:paraId="000000E7">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Concrètement, cela signifie que l’entreprise est devenue plus efficace : elle parvient à générer plus de richesse avec un niveau d’activité plus faible. On observe donc une amélioration de la rentabilité.</w:t>
      </w:r>
    </w:p>
    <w:p w:rsidR="00000000" w:rsidDel="00000000" w:rsidP="00000000" w:rsidRDefault="00000000" w:rsidRPr="00000000" w14:paraId="000000E8">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D’ailleurs, cette analyse se confirme à travers les ratios. La rentabilité des capitaux propres atteint environ 16 %, ce qui signifie que l’entreprise génère un rendement élevé pour ses investisseurs. De même, la rentabilité économique s’élève à environ 14,8 %, prouvant une utilisation efficace des ressources mobilisées.</w:t>
      </w:r>
    </w:p>
    <w:p w:rsidR="00000000" w:rsidDel="00000000" w:rsidP="00000000" w:rsidRDefault="00000000" w:rsidRPr="00000000" w14:paraId="000000E9">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Pour nous repreneurs, ces éléments sont particulièrement rassurants : ils montrent que l’entreprise est capable de créer de la valeur, même dans un contexte d’activité moins favorable.</w:t>
      </w:r>
    </w:p>
    <w:p w:rsidR="00000000" w:rsidDel="00000000" w:rsidP="00000000" w:rsidRDefault="00000000" w:rsidRPr="00000000" w14:paraId="000000EA">
      <w:pPr>
        <w:pStyle w:val="Heading3"/>
        <w:keepNext w:val="0"/>
        <w:keepLines w:val="0"/>
        <w:spacing w:before="280" w:lineRule="auto"/>
        <w:ind w:right="-589.7244094488178"/>
        <w:rPr>
          <w:rFonts w:ascii="Times New Roman" w:cs="Times New Roman" w:eastAsia="Times New Roman" w:hAnsi="Times New Roman"/>
          <w:b w:val="1"/>
          <w:bCs w:val="1"/>
          <w:color w:val="0000ff"/>
          <w:sz w:val="24"/>
          <w:szCs w:val="24"/>
        </w:rPr>
      </w:pPr>
      <w:bookmarkStart w:colFirst="0" w:colLast="0" w:name="_bwl6mlkps1kv" w:id="12"/>
      <w:bookmarkEnd w:id="12"/>
      <w:r w:rsidDel="00000000" w:rsidR="00000000" w:rsidRPr="00000000">
        <w:rPr>
          <w:rFonts w:ascii="Times New Roman" w:cs="Times New Roman" w:eastAsia="Times New Roman" w:hAnsi="Times New Roman"/>
          <w:b w:val="1"/>
          <w:bCs w:val="1"/>
          <w:color w:val="0000ff"/>
          <w:sz w:val="24"/>
          <w:szCs w:val="24"/>
          <w:rtl w:val="0"/>
        </w:rPr>
        <w:t xml:space="preserve">2. Capacité d’autofinancement</w:t>
      </w:r>
    </w:p>
    <w:p w:rsidR="00000000" w:rsidDel="00000000" w:rsidP="00000000" w:rsidRDefault="00000000" w:rsidRPr="00000000" w14:paraId="000000EB">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La capacité d’autofinancement confirme cette dynamique positive.</w:t>
      </w:r>
    </w:p>
    <w:p w:rsidR="00000000" w:rsidDel="00000000" w:rsidP="00000000" w:rsidRDefault="00000000" w:rsidRPr="00000000" w14:paraId="000000EC">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D’après les calculs réalisés à partir de nos SIG, la CAF passe de 8,3 M€ en N-2 à 14,1 M€ en N, ce qui représente une progression importante.</w:t>
      </w:r>
    </w:p>
    <w:p w:rsidR="00000000" w:rsidDel="00000000" w:rsidP="00000000" w:rsidRDefault="00000000" w:rsidRPr="00000000" w14:paraId="000000ED">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Cela signifie que l’entreprise ne se contente pas d’être rentable sur le plan comptable, mais qu’elle génère vraiment de la trésorerie. Elle est donc en mesure de financer ses investissements, de rembourser ses dettes et de soutenir son activité sans forcément dépendre de financements externes.</w:t>
      </w:r>
    </w:p>
    <w:p w:rsidR="00000000" w:rsidDel="00000000" w:rsidP="00000000" w:rsidRDefault="00000000" w:rsidRPr="00000000" w14:paraId="000000EE">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Lors de nos échanges, il a été souligné que cette amélioration est liée à une gestion plus rigoureuse des charges et à une meilleure organisation interne.</w:t>
      </w:r>
    </w:p>
    <w:p w:rsidR="00000000" w:rsidDel="00000000" w:rsidP="00000000" w:rsidRDefault="00000000" w:rsidRPr="00000000" w14:paraId="000000EF">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Dans un projet de reprise, cette capacité à générer du cash constitue un élément clé, car elle réduit le risque financier et offre des marges de manœuvre pour le développement futur.</w:t>
      </w:r>
    </w:p>
    <w:p w:rsidR="00000000" w:rsidDel="00000000" w:rsidP="00000000" w:rsidRDefault="00000000" w:rsidRPr="00000000" w14:paraId="000000F0">
      <w:pPr>
        <w:pStyle w:val="Heading3"/>
        <w:keepNext w:val="0"/>
        <w:keepLines w:val="0"/>
        <w:spacing w:before="280" w:lineRule="auto"/>
        <w:ind w:right="-589.7244094488178"/>
        <w:rPr>
          <w:rFonts w:ascii="Times New Roman" w:cs="Times New Roman" w:eastAsia="Times New Roman" w:hAnsi="Times New Roman"/>
          <w:b w:val="1"/>
          <w:bCs w:val="1"/>
          <w:color w:val="0000ff"/>
          <w:sz w:val="24"/>
          <w:szCs w:val="24"/>
        </w:rPr>
      </w:pPr>
      <w:bookmarkStart w:colFirst="0" w:colLast="0" w:name="_qp0eo0csqlko" w:id="13"/>
      <w:bookmarkEnd w:id="13"/>
      <w:r w:rsidDel="00000000" w:rsidR="00000000" w:rsidRPr="00000000">
        <w:rPr>
          <w:rFonts w:ascii="Times New Roman" w:cs="Times New Roman" w:eastAsia="Times New Roman" w:hAnsi="Times New Roman"/>
          <w:b w:val="1"/>
          <w:bCs w:val="1"/>
          <w:color w:val="0000ff"/>
          <w:sz w:val="24"/>
          <w:szCs w:val="24"/>
          <w:rtl w:val="0"/>
        </w:rPr>
        <w:t xml:space="preserve">3. Analyse de la structure financière</w:t>
      </w:r>
    </w:p>
    <w:p w:rsidR="00000000" w:rsidDel="00000000" w:rsidP="00000000" w:rsidRDefault="00000000" w:rsidRPr="00000000" w14:paraId="000000F1">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L’analyse du bilan est complétée par l’étude du bilan fonctionnel que nous avons réalisé, qui permet de mieux comprendre l’équilibre financier de l’entreprise.</w:t>
      </w:r>
    </w:p>
    <w:p w:rsidR="00000000" w:rsidDel="00000000" w:rsidP="00000000" w:rsidRDefault="00000000" w:rsidRPr="00000000" w14:paraId="000000F2">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On observe une augmentation significative des capitaux propres, passant de 28,5 M€ à 43,5 M€ . Cela traduit un renforcement de la solidité financière et une moindre dépendance à l’endettement.</w:t>
      </w:r>
    </w:p>
    <w:p w:rsidR="00000000" w:rsidDel="00000000" w:rsidP="00000000" w:rsidRDefault="00000000" w:rsidRPr="00000000" w14:paraId="000000F3">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Le bilan fonctionnel met également en évidence un Fond de Roulement Net Global suffisant pour couvrir le Besoin en Fonds de Roulement. Cela signifie que l’entreprise finance correctement son cycle d’exploitation à l’aide de ressources stables.</w:t>
      </w:r>
    </w:p>
    <w:p w:rsidR="00000000" w:rsidDel="00000000" w:rsidP="00000000" w:rsidRDefault="00000000" w:rsidRPr="00000000" w14:paraId="000000F4">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Cette situation explique l’amélioration de la trésorerie, qui devient positive et confortable. L’entreprise n’est donc plus en situation de tension financière.</w:t>
      </w:r>
    </w:p>
    <w:p w:rsidR="00000000" w:rsidDel="00000000" w:rsidP="00000000" w:rsidRDefault="00000000" w:rsidRPr="00000000" w14:paraId="000000F5">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Les ratios de liquidité confirment cette analyse : l’entreprise est aujourd’hui en mesure de faire face à ses dettes à court terme sans difficulté, ce qui constitue un point rassurant pour un repreneur.</w:t>
      </w:r>
    </w:p>
    <w:p w:rsidR="00000000" w:rsidDel="00000000" w:rsidP="00000000" w:rsidRDefault="00000000" w:rsidRPr="00000000" w14:paraId="000000F6">
      <w:pPr>
        <w:pStyle w:val="Heading3"/>
        <w:keepNext w:val="0"/>
        <w:keepLines w:val="0"/>
        <w:spacing w:before="280" w:lineRule="auto"/>
        <w:ind w:right="-589.7244094488178"/>
        <w:rPr>
          <w:rFonts w:ascii="Times New Roman" w:cs="Times New Roman" w:eastAsia="Times New Roman" w:hAnsi="Times New Roman"/>
          <w:b w:val="1"/>
          <w:bCs w:val="1"/>
          <w:color w:val="0000ff"/>
          <w:sz w:val="24"/>
          <w:szCs w:val="24"/>
        </w:rPr>
      </w:pPr>
      <w:bookmarkStart w:colFirst="0" w:colLast="0" w:name="_o96s1gift66e" w:id="14"/>
      <w:bookmarkEnd w:id="14"/>
      <w:r w:rsidDel="00000000" w:rsidR="00000000" w:rsidRPr="00000000">
        <w:rPr>
          <w:rFonts w:ascii="Times New Roman" w:cs="Times New Roman" w:eastAsia="Times New Roman" w:hAnsi="Times New Roman"/>
          <w:b w:val="1"/>
          <w:bCs w:val="1"/>
          <w:color w:val="0000ff"/>
          <w:sz w:val="24"/>
          <w:szCs w:val="24"/>
          <w:rtl w:val="0"/>
        </w:rPr>
        <w:t xml:space="preserve">4. Analyse du cycle d’exploitation</w:t>
      </w:r>
    </w:p>
    <w:p w:rsidR="00000000" w:rsidDel="00000000" w:rsidP="00000000" w:rsidRDefault="00000000" w:rsidRPr="00000000" w14:paraId="000000F7">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L’analyse du bilan fonctionnel met en évidence un point central : le poids des stocks dans le cycle d’exploitation.</w:t>
      </w:r>
    </w:p>
    <w:p w:rsidR="00000000" w:rsidDel="00000000" w:rsidP="00000000" w:rsidRDefault="00000000" w:rsidRPr="00000000" w14:paraId="000000F8">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Les stocks représentent une part importante de l’actif, ce qui contribue à maintenir un Besoin en Fonds de Roulement élevé. Cela signifie qu’une partie significative des ressources de l’entreprise est immobilisée.</w:t>
      </w:r>
    </w:p>
    <w:p w:rsidR="00000000" w:rsidDel="00000000" w:rsidP="00000000" w:rsidRDefault="00000000" w:rsidRPr="00000000" w14:paraId="000000F9">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D’après les éléments étudiés, ce niveau de stock est cohérent avec l’activité industrielle. Cependant, il constitue également un axe d’amélioration potentiel.</w:t>
      </w:r>
    </w:p>
    <w:p w:rsidR="00000000" w:rsidDel="00000000" w:rsidP="00000000" w:rsidRDefault="00000000" w:rsidRPr="00000000" w14:paraId="000000FA">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En effet, une optimisation de la rotation des stocks permettrait de réduire le BFR et de libérer de la trésorerie. Dans une logique de reprise, cela représente un levier intéressant pour améliorer la performance financière.</w:t>
      </w:r>
    </w:p>
    <w:p w:rsidR="00000000" w:rsidDel="00000000" w:rsidP="00000000" w:rsidRDefault="00000000" w:rsidRPr="00000000" w14:paraId="000000FB">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La gestion des créances clients et des dettes fournisseurs ne montre pas de déséquilibre majeur, mais elle devra être suivie attentivement afin de maintenir cet équilibre.</w:t>
      </w:r>
    </w:p>
    <w:p w:rsidR="00000000" w:rsidDel="00000000" w:rsidP="00000000" w:rsidRDefault="00000000" w:rsidRPr="00000000" w14:paraId="000000FC">
      <w:pPr>
        <w:pStyle w:val="Heading3"/>
        <w:keepNext w:val="0"/>
        <w:keepLines w:val="0"/>
        <w:spacing w:before="280" w:lineRule="auto"/>
        <w:ind w:right="-589.7244094488178"/>
        <w:rPr>
          <w:rFonts w:ascii="Times New Roman" w:cs="Times New Roman" w:eastAsia="Times New Roman" w:hAnsi="Times New Roman"/>
          <w:b w:val="1"/>
          <w:bCs w:val="1"/>
          <w:color w:val="0000ff"/>
          <w:sz w:val="24"/>
          <w:szCs w:val="24"/>
        </w:rPr>
      </w:pPr>
      <w:bookmarkStart w:colFirst="0" w:colLast="0" w:name="_boz7lpav4rjd" w:id="15"/>
      <w:bookmarkEnd w:id="15"/>
      <w:r w:rsidDel="00000000" w:rsidR="00000000" w:rsidRPr="00000000">
        <w:rPr>
          <w:rFonts w:ascii="Times New Roman" w:cs="Times New Roman" w:eastAsia="Times New Roman" w:hAnsi="Times New Roman"/>
          <w:b w:val="1"/>
          <w:bCs w:val="1"/>
          <w:color w:val="0000ff"/>
          <w:sz w:val="24"/>
          <w:szCs w:val="24"/>
          <w:rtl w:val="0"/>
        </w:rPr>
        <w:t xml:space="preserve">5. Analyse des risques</w:t>
      </w:r>
    </w:p>
    <w:p w:rsidR="00000000" w:rsidDel="00000000" w:rsidP="00000000" w:rsidRDefault="00000000" w:rsidRPr="00000000" w14:paraId="000000FD">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Malgré une situation financière globalement positive, certains risques doivent être pris en compte.</w:t>
      </w:r>
    </w:p>
    <w:p w:rsidR="00000000" w:rsidDel="00000000" w:rsidP="00000000" w:rsidRDefault="00000000" w:rsidRPr="00000000" w14:paraId="000000FE">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Le principal concerne la baisse du chiffre d’affaires, qui montre que l’entreprise reste dépendante des conditions du marché. Lors de nos échanges, ce point a été identifié comme un enjeu stratégique pour les années à venir.</w:t>
      </w:r>
    </w:p>
    <w:p w:rsidR="00000000" w:rsidDel="00000000" w:rsidP="00000000" w:rsidRDefault="00000000" w:rsidRPr="00000000" w14:paraId="000000FF">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Par ailleurs, le poids des stocks constitue un élément de vigilance, notamment en cas de ralentissement de l’activité.</w:t>
      </w:r>
    </w:p>
    <w:p w:rsidR="00000000" w:rsidDel="00000000" w:rsidP="00000000" w:rsidRDefault="00000000" w:rsidRPr="00000000" w14:paraId="00000100">
      <w:pPr>
        <w:pStyle w:val="Heading3"/>
        <w:keepNext w:val="0"/>
        <w:keepLines w:val="0"/>
        <w:spacing w:before="280" w:lineRule="auto"/>
        <w:ind w:right="-589.7244094488178"/>
        <w:rPr>
          <w:rFonts w:ascii="Times New Roman" w:cs="Times New Roman" w:eastAsia="Times New Roman" w:hAnsi="Times New Roman"/>
          <w:b w:val="1"/>
          <w:bCs w:val="1"/>
          <w:color w:val="0000ff"/>
          <w:sz w:val="24"/>
          <w:szCs w:val="24"/>
        </w:rPr>
      </w:pPr>
      <w:bookmarkStart w:colFirst="0" w:colLast="0" w:name="_rblyic7bysev" w:id="16"/>
      <w:bookmarkEnd w:id="16"/>
      <w:r w:rsidDel="00000000" w:rsidR="00000000" w:rsidRPr="00000000">
        <w:rPr>
          <w:rFonts w:ascii="Times New Roman" w:cs="Times New Roman" w:eastAsia="Times New Roman" w:hAnsi="Times New Roman"/>
          <w:b w:val="1"/>
          <w:bCs w:val="1"/>
          <w:color w:val="0000ff"/>
          <w:sz w:val="24"/>
          <w:szCs w:val="24"/>
          <w:rtl w:val="0"/>
        </w:rPr>
        <w:t xml:space="preserve">6. Conclusion du diagnostic financier</w:t>
      </w:r>
    </w:p>
    <w:p w:rsidR="00000000" w:rsidDel="00000000" w:rsidP="00000000" w:rsidRDefault="00000000" w:rsidRPr="00000000" w14:paraId="00000101">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En vue de l’ensemble des éléments analysés, l’entreprise Daudruy présente une situation financière solide et rassurante dans le cadre d’un projet de reprise.</w:t>
      </w:r>
    </w:p>
    <w:p w:rsidR="00000000" w:rsidDel="00000000" w:rsidP="00000000" w:rsidRDefault="00000000" w:rsidRPr="00000000" w14:paraId="00000102">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L’analyse du compte de résultat, des SIG et du bilan fonctionnel met en évidence :</w:t>
      </w:r>
    </w:p>
    <w:p w:rsidR="00000000" w:rsidDel="00000000" w:rsidP="00000000" w:rsidRDefault="00000000" w:rsidRPr="00000000" w14:paraId="00000103">
      <w:pPr>
        <w:pStyle w:val="Heading2"/>
        <w:keepNext w:val="0"/>
        <w:keepLines w:val="0"/>
        <w:numPr>
          <w:ilvl w:val="0"/>
          <w:numId w:val="7"/>
        </w:numPr>
        <w:spacing w:after="0" w:afterAutospacing="0" w:before="240" w:lineRule="auto"/>
        <w:ind w:left="720" w:right="-589.7244094488178" w:hanging="360"/>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une amélioration de la rentabilité,</w:t>
      </w:r>
    </w:p>
    <w:p w:rsidR="00000000" w:rsidDel="00000000" w:rsidP="00000000" w:rsidRDefault="00000000" w:rsidRPr="00000000" w14:paraId="00000104">
      <w:pPr>
        <w:pStyle w:val="Heading2"/>
        <w:keepNext w:val="0"/>
        <w:keepLines w:val="0"/>
        <w:numPr>
          <w:ilvl w:val="0"/>
          <w:numId w:val="7"/>
        </w:numPr>
        <w:spacing w:after="0" w:afterAutospacing="0" w:before="0" w:beforeAutospacing="0" w:lineRule="auto"/>
        <w:ind w:left="720" w:right="-589.7244094488178" w:hanging="360"/>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une forte capacité d’autofinancement,</w:t>
      </w:r>
    </w:p>
    <w:p w:rsidR="00000000" w:rsidDel="00000000" w:rsidP="00000000" w:rsidRDefault="00000000" w:rsidRPr="00000000" w14:paraId="00000105">
      <w:pPr>
        <w:pStyle w:val="Heading2"/>
        <w:keepNext w:val="0"/>
        <w:keepLines w:val="0"/>
        <w:numPr>
          <w:ilvl w:val="0"/>
          <w:numId w:val="7"/>
        </w:numPr>
        <w:spacing w:after="0" w:afterAutospacing="0" w:before="0" w:beforeAutospacing="0" w:lineRule="auto"/>
        <w:ind w:left="720" w:right="-589.7244094488178" w:hanging="360"/>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une structure financière équilibrée,</w:t>
      </w:r>
    </w:p>
    <w:p w:rsidR="00000000" w:rsidDel="00000000" w:rsidP="00000000" w:rsidRDefault="00000000" w:rsidRPr="00000000" w14:paraId="00000106">
      <w:pPr>
        <w:pStyle w:val="Heading2"/>
        <w:keepNext w:val="0"/>
        <w:keepLines w:val="0"/>
        <w:numPr>
          <w:ilvl w:val="0"/>
          <w:numId w:val="7"/>
        </w:numPr>
        <w:spacing w:after="240" w:before="0" w:beforeAutospacing="0" w:lineRule="auto"/>
        <w:ind w:left="720" w:right="-589.7244094488178" w:hanging="360"/>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et une trésorerie désormais positive.</w:t>
      </w:r>
    </w:p>
    <w:p w:rsidR="00000000" w:rsidDel="00000000" w:rsidP="00000000" w:rsidRDefault="00000000" w:rsidRPr="00000000" w14:paraId="00000107">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u2fb207gflc7" w:id="11"/>
      <w:bookmarkEnd w:id="11"/>
      <w:r w:rsidDel="00000000" w:rsidR="00000000" w:rsidRPr="00000000">
        <w:rPr>
          <w:rFonts w:ascii="Times New Roman" w:cs="Times New Roman" w:eastAsia="Times New Roman" w:hAnsi="Times New Roman"/>
          <w:sz w:val="24"/>
          <w:szCs w:val="24"/>
          <w:rtl w:val="0"/>
        </w:rPr>
        <w:t xml:space="preserve">Nous ne sommes donc pas face à une entreprise en difficulté, mais face à une structure capable de s’adapter à son environnement et de créer de la valeur.</w:t>
      </w:r>
    </w:p>
    <w:p w:rsidR="00000000" w:rsidDel="00000000" w:rsidP="00000000" w:rsidRDefault="00000000" w:rsidRPr="00000000" w14:paraId="00000108">
      <w:pPr>
        <w:pStyle w:val="Heading2"/>
        <w:keepNext w:val="0"/>
        <w:keepLines w:val="0"/>
        <w:spacing w:after="240" w:before="240" w:lineRule="auto"/>
        <w:ind w:right="-589.7244094488178"/>
        <w:rPr>
          <w:rFonts w:ascii="Times New Roman" w:cs="Times New Roman" w:eastAsia="Times New Roman" w:hAnsi="Times New Roman"/>
          <w:sz w:val="24"/>
          <w:szCs w:val="24"/>
        </w:rPr>
      </w:pPr>
      <w:bookmarkStart w:colFirst="0" w:colLast="0" w:name="_wlrz7wd3g2lc" w:id="17"/>
      <w:bookmarkEnd w:id="17"/>
      <w:r w:rsidDel="00000000" w:rsidR="00000000" w:rsidRPr="00000000">
        <w:rPr>
          <w:rFonts w:ascii="Times New Roman" w:cs="Times New Roman" w:eastAsia="Times New Roman" w:hAnsi="Times New Roman"/>
          <w:sz w:val="24"/>
          <w:szCs w:val="24"/>
          <w:rtl w:val="0"/>
        </w:rPr>
        <w:t xml:space="preserve">Dans une logique de reprise, cela constitue une base saine. Le principal enjeu sera de stabiliser l’activité et d’optimiser certains postes, notamment les stocks, afin d’améliorer encore la performance globale.</w:t>
      </w:r>
      <w:r w:rsidDel="00000000" w:rsidR="00000000" w:rsidRPr="00000000">
        <w:rPr>
          <w:rtl w:val="0"/>
        </w:rPr>
      </w:r>
    </w:p>
    <w:p w:rsidR="00000000" w:rsidDel="00000000" w:rsidP="00000000" w:rsidRDefault="00000000" w:rsidRPr="00000000" w14:paraId="00000109">
      <w:pPr>
        <w:spacing w:after="240" w:before="240" w:lineRule="auto"/>
        <w:ind w:right="-589.7244094488178"/>
        <w:rPr>
          <w:rFonts w:ascii="Times New Roman" w:cs="Times New Roman" w:eastAsia="Times New Roman" w:hAnsi="Times New Roman"/>
          <w:b w:val="1"/>
          <w:bCs w:val="1"/>
          <w:color w:val="38761d"/>
          <w:sz w:val="24"/>
          <w:szCs w:val="24"/>
          <w:u w:val="single"/>
        </w:rPr>
      </w:pPr>
      <w:r w:rsidDel="00000000" w:rsidR="00000000" w:rsidRPr="00000000">
        <w:rPr>
          <w:rFonts w:ascii="Times New Roman" w:cs="Times New Roman" w:eastAsia="Times New Roman" w:hAnsi="Times New Roman"/>
          <w:b w:val="1"/>
          <w:bCs w:val="1"/>
          <w:color w:val="38761d"/>
          <w:sz w:val="24"/>
          <w:szCs w:val="24"/>
          <w:u w:val="single"/>
          <w:rtl w:val="0"/>
        </w:rPr>
        <w:t xml:space="preserve">V- Le diagnostic juridique dans le cadre d’une cession de société</w:t>
      </w:r>
    </w:p>
    <w:p w:rsidR="00000000" w:rsidDel="00000000" w:rsidP="00000000" w:rsidRDefault="00000000" w:rsidRPr="00000000" w14:paraId="0000010A">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jtj2odkfmanc" w:id="18"/>
      <w:bookmarkEnd w:id="18"/>
      <w:r w:rsidDel="00000000" w:rsidR="00000000" w:rsidRPr="00000000">
        <w:rPr>
          <w:rFonts w:ascii="Times New Roman" w:cs="Times New Roman" w:eastAsia="Times New Roman" w:hAnsi="Times New Roman"/>
          <w:b w:val="1"/>
          <w:bCs w:val="1"/>
          <w:color w:val="0000ff"/>
          <w:sz w:val="24"/>
          <w:szCs w:val="24"/>
          <w:rtl w:val="0"/>
        </w:rPr>
        <w:t xml:space="preserve">1. Organisation juridique de l’entreprise</w:t>
      </w:r>
    </w:p>
    <w:p w:rsidR="00000000" w:rsidDel="00000000" w:rsidP="00000000" w:rsidRDefault="00000000" w:rsidRPr="00000000" w14:paraId="0000010B">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société Daudruy Van Cauwenberghe est constituée sous la forme d’une Société par Actions Simplifiée (SAS). Cette forme juridique présente plusieurs avantages dans le cadre d’une reprise : une grande souplesse statutaire, une liberté d’organisation des pouvoirs et une facilité de transmission des titres.</w:t>
      </w:r>
    </w:p>
    <w:p w:rsidR="00000000" w:rsidDel="00000000" w:rsidP="00000000" w:rsidRDefault="00000000" w:rsidRPr="00000000" w14:paraId="0000010C">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L’analyse de l’extrait K-bis et des statuts permet de vérifier l’identité juridique de la société, son objet social, la répartition des pouvoirs ainsi que les modalités de cession des actions. Dans le cadre d’une reprise par rachat de titres, il est indispensable de s’assurer de l’absence de clauses statutaires restrictives (clauses d’agrément, d’inaliénabilité ou de préemption) susceptibles de freiner ou conditionner la cession.</w:t>
      </w:r>
    </w:p>
    <w:p w:rsidR="00000000" w:rsidDel="00000000" w:rsidP="00000000" w:rsidRDefault="00000000" w:rsidRPr="00000000" w14:paraId="0000010D">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ne nous a communiqué aucune existence de procédures collectives en cours. Il n’y a donc pas de craintes à avoir concernant des procédures cachées. </w:t>
      </w:r>
    </w:p>
    <w:p w:rsidR="00000000" w:rsidDel="00000000" w:rsidP="00000000" w:rsidRDefault="00000000" w:rsidRPr="00000000" w14:paraId="0000010E">
      <w:pPr>
        <w:pStyle w:val="Heading2"/>
        <w:keepNext w:val="0"/>
        <w:keepLines w:val="0"/>
        <w:spacing w:after="80" w:lineRule="auto"/>
        <w:ind w:right="-589.7244094488178"/>
        <w:rPr>
          <w:rFonts w:ascii="Times New Roman" w:cs="Times New Roman" w:eastAsia="Times New Roman" w:hAnsi="Times New Roman"/>
          <w:color w:val="0000ff"/>
          <w:sz w:val="24"/>
          <w:szCs w:val="24"/>
        </w:rPr>
      </w:pPr>
      <w:bookmarkStart w:colFirst="0" w:colLast="0" w:name="_wq26xvw0dlwh" w:id="19"/>
      <w:bookmarkEnd w:id="19"/>
      <w:r w:rsidDel="00000000" w:rsidR="00000000" w:rsidRPr="00000000">
        <w:rPr>
          <w:rFonts w:ascii="Times New Roman" w:cs="Times New Roman" w:eastAsia="Times New Roman" w:hAnsi="Times New Roman"/>
          <w:b w:val="1"/>
          <w:bCs w:val="1"/>
          <w:color w:val="0000ff"/>
          <w:sz w:val="24"/>
          <w:szCs w:val="24"/>
          <w:rtl w:val="0"/>
        </w:rPr>
        <w:t xml:space="preserve">2. Les contrats en cours et obligations contractuelles</w:t>
      </w:r>
      <w:r w:rsidDel="00000000" w:rsidR="00000000" w:rsidRPr="00000000">
        <w:rPr>
          <w:rtl w:val="0"/>
        </w:rPr>
      </w:r>
    </w:p>
    <w:p w:rsidR="00000000" w:rsidDel="00000000" w:rsidP="00000000" w:rsidRDefault="00000000" w:rsidRPr="00000000" w14:paraId="0000010F">
      <w:pPr>
        <w:pStyle w:val="Heading3"/>
        <w:keepNext w:val="0"/>
        <w:keepLines w:val="0"/>
        <w:spacing w:before="280" w:lineRule="auto"/>
        <w:ind w:right="-589.7244094488178"/>
        <w:rPr>
          <w:rFonts w:ascii="Times New Roman" w:cs="Times New Roman" w:eastAsia="Times New Roman" w:hAnsi="Times New Roman"/>
          <w:b w:val="1"/>
          <w:bCs w:val="1"/>
          <w:color w:val="000000"/>
          <w:sz w:val="24"/>
          <w:szCs w:val="24"/>
        </w:rPr>
      </w:pPr>
      <w:bookmarkStart w:colFirst="0" w:colLast="0" w:name="_5n2cum2ilu83" w:id="20"/>
      <w:bookmarkEnd w:id="20"/>
      <w:r w:rsidDel="00000000" w:rsidR="00000000" w:rsidRPr="00000000">
        <w:rPr>
          <w:rFonts w:ascii="Times New Roman" w:cs="Times New Roman" w:eastAsia="Times New Roman" w:hAnsi="Times New Roman"/>
          <w:b w:val="1"/>
          <w:bCs w:val="1"/>
          <w:color w:val="000000"/>
          <w:sz w:val="24"/>
          <w:szCs w:val="24"/>
          <w:rtl w:val="0"/>
        </w:rPr>
        <w:t xml:space="preserve">a) Contrats liés à l’immobilier</w:t>
      </w:r>
    </w:p>
    <w:p w:rsidR="00000000" w:rsidDel="00000000" w:rsidP="00000000" w:rsidRDefault="00000000" w:rsidRPr="00000000" w14:paraId="00000110">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est implantée sur un site industriel stratégique. Il convient d’analyser avec attention les contrats de bail ou les titres de propriété, ainsi que leurs conditions : durée restante, clauses de résiliation, modalités de renouvellement et évolution des loyers. Concernant notre projet de rachat, il n’existe pas à l’heure actuelle de contrats sont arrivés à échéance. Ils n’y a donc pas d’inquiétudes à avoir. </w:t>
      </w:r>
    </w:p>
    <w:p w:rsidR="00000000" w:rsidDel="00000000" w:rsidP="00000000" w:rsidRDefault="00000000" w:rsidRPr="00000000" w14:paraId="00000111">
      <w:pPr>
        <w:pStyle w:val="Heading3"/>
        <w:keepNext w:val="0"/>
        <w:keepLines w:val="0"/>
        <w:spacing w:before="280" w:lineRule="auto"/>
        <w:ind w:right="-589.7244094488178"/>
        <w:rPr>
          <w:rFonts w:ascii="Times New Roman" w:cs="Times New Roman" w:eastAsia="Times New Roman" w:hAnsi="Times New Roman"/>
          <w:b w:val="1"/>
          <w:bCs w:val="1"/>
          <w:color w:val="000000"/>
          <w:sz w:val="24"/>
          <w:szCs w:val="24"/>
        </w:rPr>
      </w:pPr>
      <w:bookmarkStart w:colFirst="0" w:colLast="0" w:name="_370n3cxe7tjp" w:id="21"/>
      <w:bookmarkEnd w:id="21"/>
      <w:r w:rsidDel="00000000" w:rsidR="00000000" w:rsidRPr="00000000">
        <w:rPr>
          <w:rFonts w:ascii="Times New Roman" w:cs="Times New Roman" w:eastAsia="Times New Roman" w:hAnsi="Times New Roman"/>
          <w:b w:val="1"/>
          <w:bCs w:val="1"/>
          <w:color w:val="000000"/>
          <w:sz w:val="24"/>
          <w:szCs w:val="24"/>
          <w:rtl w:val="0"/>
        </w:rPr>
        <w:t xml:space="preserve">b) Biens et actifs de la société</w:t>
      </w:r>
    </w:p>
    <w:p w:rsidR="00000000" w:rsidDel="00000000" w:rsidP="00000000" w:rsidRDefault="00000000" w:rsidRPr="00000000" w14:paraId="00000112">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diagnostic porte aussi sur les actifs incorporels : noms commerciaux, marques, logos, noms de domaine ou brevets. Leur détention par la société, leur protection juridique et leur exploitation doivent être vérifiées, car ils participent directement à la valeur de l’entreprise sans toujours apparaître à l’actif du bilan.</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possède plusieurs types de biens et d’actifs qui sont essentiels à son fonctionnement.</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Tout d’abord, elle dispose d’actifs industriels importants. Cela correspond à l’ensemble de ses installations de production, comme l’usine, les machines, les cuves ou encore les équipements de raffinage. Ce sont ces éléments qui permettent de transformer les matières premières (huiles, graisses) en produits finis.</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Ensuite, il y a les actifs logistiques, c’est-à-dire tout ce qui concerne le transport et le stockage. Par exemple, la proximité avec le port de Dunkerque est un atout stratégique, car elle facilite les importations et les exportations. L’entreprise dispose aussi de systèmes de stockage (cuves, silos) et utilise des moyens de transport comme les camions-citernes ou les péniches.</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possède également des actifs techniques et technologiques. Cela comprend notamment le laboratoire d’analyse, qui permet de vérifier la qualité des produits, mais aussi le savoir-faire technique. Le savoir-faire correspond aux compétences et aux méthodes que l’entreprise a développées avec le temps. C’est un élément très important, même s’il n’est pas “visible” comme une machine.</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capital humain constitue aussi un actif essentiel. Cela correspond aux salariés et à leurs compétences. Dans ce cas, le dirigeant Dominique Daudruy est considéré comme un élément clé, car une grande partie de l’entreprise repose sur lui.</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existe aussi des actifs commerciaux, comme les relations avec les clients et les fournisseurs, ainsi que la réputation de l’entreprise. Par exemple, le fait qu’elle existe depuis longtemps renforce la confiance des partenaires.</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on retrouve les actifs immatériels. Ce sont des éléments qui n’ont pas de forme physique, comme les certifications (ISCC, GMP+, etc.), l’image de marque ou encore le positionnement de l’entreprise dans la chimie verte et le recyclage.</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ces actifs représentent une base solide pour envisager la reprise. Cependant, certains éléments devront être sécurisés, notamment les compétences clés et les relations avec les fournisseurs.</w:t>
      </w:r>
      <w:r w:rsidDel="00000000" w:rsidR="00000000" w:rsidRPr="00000000">
        <w:rPr>
          <w:rtl w:val="0"/>
        </w:rPr>
      </w:r>
    </w:p>
    <w:p w:rsidR="00000000" w:rsidDel="00000000" w:rsidP="00000000" w:rsidRDefault="00000000" w:rsidRPr="00000000" w14:paraId="0000011B">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vf7lz4hgl9lf" w:id="22"/>
      <w:bookmarkEnd w:id="22"/>
      <w:r w:rsidDel="00000000" w:rsidR="00000000" w:rsidRPr="00000000">
        <w:rPr>
          <w:rFonts w:ascii="Times New Roman" w:cs="Times New Roman" w:eastAsia="Times New Roman" w:hAnsi="Times New Roman"/>
          <w:b w:val="1"/>
          <w:bCs w:val="1"/>
          <w:color w:val="0000ff"/>
          <w:sz w:val="24"/>
          <w:szCs w:val="24"/>
          <w:rtl w:val="0"/>
        </w:rPr>
        <w:t xml:space="preserve">3. Situation fiscale et obligations légales</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L’analyse juridique prend aussi en compte la situation fiscale de l’entreprise. Pour cela, on étudie plusieurs documents comme les liasses fiscales (documents qui regroupent toutes les informations financières envoyées à l’administration), les déclarations de TVA (CA3) ainsi que les avis d’imposition des trois derniers exercices.</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cas de Daudruy, cette analyse permet de vérifier que l’entreprise respecte bien ses obligations fiscales, c’est-à-dire qu’elle paie correctement ses impôts et qu’elle est en règle avec l’administration. Elle permet aussi de s’assurer qu’il n’y a pas de redressement fiscal en cours. Un redressement correspond à une correction faite par l’administration lorsqu’elle estime que l’entreprise n’a pas payé assez d’impôts.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d’un rachat de titres, ce point est particulièrement important pour nous, car reprendre l’entreprise signifie aussi reprendre ses éventuels risques fiscaux. On parle de passif fiscal latent, c’est-à-dire des dettes ou des risques qui ne sont pas encore visibles mais qui pourraient apparaître après la reprise.</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Il est donc essentiel d’identifier ces risques à l’avance afin de les prendre en compte dans la négociation du prix ou de prévoir des garanties. Ces garanties, appelées garanties d’actif et de passif, permettent de protéger le repreneur si des problèmes apparaissent après la reprise.</w:t>
      </w:r>
      <w:r w:rsidDel="00000000" w:rsidR="00000000" w:rsidRPr="00000000">
        <w:rPr>
          <w:rtl w:val="0"/>
        </w:rPr>
      </w:r>
    </w:p>
    <w:p w:rsidR="00000000" w:rsidDel="00000000" w:rsidP="00000000" w:rsidRDefault="00000000" w:rsidRPr="00000000" w14:paraId="00000120">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h4bqsbyvru1m" w:id="23"/>
      <w:bookmarkEnd w:id="23"/>
      <w:r w:rsidDel="00000000" w:rsidR="00000000" w:rsidRPr="00000000">
        <w:rPr>
          <w:rFonts w:ascii="Times New Roman" w:cs="Times New Roman" w:eastAsia="Times New Roman" w:hAnsi="Times New Roman"/>
          <w:b w:val="1"/>
          <w:bCs w:val="1"/>
          <w:color w:val="0000ff"/>
          <w:sz w:val="24"/>
          <w:szCs w:val="24"/>
          <w:rtl w:val="0"/>
        </w:rPr>
        <w:t xml:space="preserve">5. Risques juridiques et modifications éventuelles à envisager</w:t>
      </w:r>
    </w:p>
    <w:p w:rsidR="00000000" w:rsidDel="00000000" w:rsidP="00000000" w:rsidRDefault="00000000" w:rsidRPr="00000000" w14:paraId="00000121">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L’analyse juridique fait apparaître plusieurs points de vigilance. La reprise de titres entraîne la transmission de l’ensemble des engagements juridiques de la société, y compris ceux qui ne seraient pas immédiatement visibles. Le repreneur devra donc être attentif aux risques liés aux contrats en cours, aux sûretés existantes, aux obligations réglementaires et aux éventuels litiges.</w:t>
      </w:r>
    </w:p>
    <w:p w:rsidR="00000000" w:rsidDel="00000000" w:rsidP="00000000" w:rsidRDefault="00000000" w:rsidRPr="00000000" w14:paraId="00000122">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Conformément à l’ordonnance du 10 février 2016 et à l’article 1112-1 du Code civil, le cédant est tenu à un devoir d’information précontractuelle. Toute information déterminante pour le consentement du repreneur doit être communiquée, à l’exception de l’estimation de la valeur de l’entreprise. Ce principe renforce la nécessité d’un diagnostic juridique rigoureux.</w:t>
      </w:r>
    </w:p>
    <w:p w:rsidR="00000000" w:rsidDel="00000000" w:rsidP="00000000" w:rsidRDefault="00000000" w:rsidRPr="00000000" w14:paraId="00000123">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le cadre de la reprise, certaines modifications juridiques pourront être envisagées, notamment l’adaptation des statuts, la réorganisation de la gouvernance ou la mise en place de garanties juridiques (garantie d’actif et de passif) afin de sécuriser l’opération.</w:t>
      </w:r>
    </w:p>
    <w:p w:rsidR="00000000" w:rsidDel="00000000" w:rsidP="00000000" w:rsidRDefault="00000000" w:rsidRPr="00000000" w14:paraId="00000124">
      <w:pPr>
        <w:spacing w:after="240" w:before="240" w:lineRule="auto"/>
        <w:ind w:right="-589.724409448817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spacing w:after="240" w:before="240" w:lineRule="auto"/>
        <w:ind w:right="-589.7244094488178"/>
        <w:rPr>
          <w:rFonts w:ascii="Times New Roman" w:cs="Times New Roman" w:eastAsia="Times New Roman" w:hAnsi="Times New Roman"/>
          <w:b w:val="1"/>
          <w:bCs w:val="1"/>
          <w:color w:val="38761d"/>
          <w:sz w:val="24"/>
          <w:szCs w:val="24"/>
          <w:u w:val="single"/>
        </w:rPr>
      </w:pPr>
      <w:r w:rsidDel="00000000" w:rsidR="00000000" w:rsidRPr="00000000">
        <w:rPr>
          <w:rFonts w:ascii="Times New Roman" w:cs="Times New Roman" w:eastAsia="Times New Roman" w:hAnsi="Times New Roman"/>
          <w:b w:val="1"/>
          <w:bCs w:val="1"/>
          <w:color w:val="38761d"/>
          <w:sz w:val="24"/>
          <w:szCs w:val="24"/>
          <w:u w:val="single"/>
          <w:rtl w:val="0"/>
        </w:rPr>
        <w:t xml:space="preserve">VI- Le diagnostic des moyens de production</w:t>
      </w:r>
    </w:p>
    <w:p w:rsidR="00000000" w:rsidDel="00000000" w:rsidP="00000000" w:rsidRDefault="00000000" w:rsidRPr="00000000" w14:paraId="00000126">
      <w:pPr>
        <w:pStyle w:val="Heading2"/>
        <w:keepNext w:val="0"/>
        <w:keepLines w:val="0"/>
        <w:spacing w:after="80" w:lineRule="auto"/>
        <w:ind w:right="-589.7244094488178"/>
        <w:rPr>
          <w:rFonts w:ascii="Times New Roman" w:cs="Times New Roman" w:eastAsia="Times New Roman" w:hAnsi="Times New Roman"/>
          <w:sz w:val="24"/>
          <w:szCs w:val="24"/>
        </w:rPr>
      </w:pPr>
      <w:bookmarkStart w:colFirst="0" w:colLast="0" w:name="_6hhemjkzw35w" w:id="24"/>
      <w:bookmarkEnd w:id="24"/>
      <w:r w:rsidDel="00000000" w:rsidR="00000000" w:rsidRPr="00000000">
        <w:rPr>
          <w:rFonts w:ascii="Times New Roman" w:cs="Times New Roman" w:eastAsia="Times New Roman" w:hAnsi="Times New Roman"/>
          <w:b w:val="1"/>
          <w:bCs w:val="1"/>
          <w:color w:val="0000ff"/>
          <w:sz w:val="24"/>
          <w:szCs w:val="24"/>
          <w:rtl w:val="0"/>
        </w:rPr>
        <w:t xml:space="preserve">a) Le diagnostic du matériel</w:t>
      </w:r>
      <w:r w:rsidDel="00000000" w:rsidR="00000000" w:rsidRPr="00000000">
        <w:rPr>
          <w:rtl w:val="0"/>
        </w:rPr>
      </w:r>
    </w:p>
    <w:p w:rsidR="00000000" w:rsidDel="00000000" w:rsidP="00000000" w:rsidRDefault="00000000" w:rsidRPr="00000000" w14:paraId="00000127">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SAS Daudruy Van Cauwenberghe dispose d’un outil de production industriel composé de matériels spécifiques à la transformation, au raffinage et au stockage de matières premières oléagineuses. Le parc matériel comprend principalement des machines industrielles de transformation, des équipements techniques liés aux procédés de production, ainsi que des installations nécessaires au contrôle et à la sécurité des opérations.</w:t>
      </w:r>
    </w:p>
    <w:p w:rsidR="00000000" w:rsidDel="00000000" w:rsidP="00000000" w:rsidRDefault="00000000" w:rsidRPr="00000000" w14:paraId="00000128">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utilise également des équipements de manutention (chariots, appareils de levage) permettant la gestion des flux de matières premières et de produits finis au sein du site. À ces équipements s’ajoutent du matériel informatique, utilisé pour le suivi de la production, la gestion des stocks, la traçabilité des produits et les tâches administratives. Il y a également du matériel de chimie dans les laboratoires car l’entreprise doit analyser et contrôler chacune de ses huiles. </w:t>
      </w:r>
    </w:p>
    <w:p w:rsidR="00000000" w:rsidDel="00000000" w:rsidP="00000000" w:rsidRDefault="00000000" w:rsidRPr="00000000" w14:paraId="00000129">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Enfin, l’entreprise peut disposer de véhicules utilitaires ou industriels destinés aux besoins logistiques internes et aux déplacements professionnels.</w:t>
      </w:r>
    </w:p>
    <w:p w:rsidR="00000000" w:rsidDel="00000000" w:rsidP="00000000" w:rsidRDefault="00000000" w:rsidRPr="00000000" w14:paraId="0000012A">
      <w:pPr>
        <w:pStyle w:val="Heading3"/>
        <w:keepNext w:val="0"/>
        <w:keepLines w:val="0"/>
        <w:spacing w:before="280" w:lineRule="auto"/>
        <w:ind w:right="-589.7244094488178"/>
        <w:rPr>
          <w:rFonts w:ascii="Times New Roman" w:cs="Times New Roman" w:eastAsia="Times New Roman" w:hAnsi="Times New Roman"/>
          <w:color w:val="000000"/>
          <w:sz w:val="24"/>
          <w:szCs w:val="24"/>
        </w:rPr>
      </w:pPr>
      <w:bookmarkStart w:colFirst="0" w:colLast="0" w:name="_orkhuith295p" w:id="25"/>
      <w:bookmarkEnd w:id="25"/>
      <w:r w:rsidDel="00000000" w:rsidR="00000000" w:rsidRPr="00000000">
        <w:rPr>
          <w:rFonts w:ascii="Times New Roman" w:cs="Times New Roman" w:eastAsia="Times New Roman" w:hAnsi="Times New Roman"/>
          <w:color w:val="000000"/>
          <w:sz w:val="24"/>
          <w:szCs w:val="24"/>
          <w:rtl w:val="0"/>
        </w:rPr>
        <w:t xml:space="preserve">Ancienneté du matériel et besoins de renouvellement</w:t>
      </w:r>
    </w:p>
    <w:p w:rsidR="00000000" w:rsidDel="00000000" w:rsidP="00000000" w:rsidRDefault="00000000" w:rsidRPr="00000000" w14:paraId="0000012B">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L’ancienneté précise des équipements n’est pas détaillée dans les informations disponibles. Toutefois, l’analyse des comptes montre la présence de dotations aux amortissements régulières, ce qui indique que le matériel est utilisé sur le long terme et fait l’objet d’un suivi comptable.</w:t>
      </w:r>
    </w:p>
    <w:p w:rsidR="00000000" w:rsidDel="00000000" w:rsidP="00000000" w:rsidRDefault="00000000" w:rsidRPr="00000000" w14:paraId="0000012C">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Cela laisse supposer que certains équipements peuvent être anciens et nécessiter, à moyen terme, des opérations de renouvellement ou de modernisation. Dans le cadre d’une reprise, il sera donc important d’évaluer l’état réel du matériel, sa durée de vie restante et les investissements nécessaires pour maintenir ou améliorer la capacité de production.</w:t>
      </w:r>
    </w:p>
    <w:p w:rsidR="00000000" w:rsidDel="00000000" w:rsidP="00000000" w:rsidRDefault="00000000" w:rsidRPr="00000000" w14:paraId="0000012D">
      <w:pPr>
        <w:pStyle w:val="Heading3"/>
        <w:keepNext w:val="0"/>
        <w:keepLines w:val="0"/>
        <w:spacing w:before="280" w:lineRule="auto"/>
        <w:ind w:right="-589.7244094488178"/>
        <w:rPr>
          <w:rFonts w:ascii="Times New Roman" w:cs="Times New Roman" w:eastAsia="Times New Roman" w:hAnsi="Times New Roman"/>
          <w:sz w:val="24"/>
          <w:szCs w:val="24"/>
        </w:rPr>
      </w:pPr>
      <w:bookmarkStart w:colFirst="0" w:colLast="0" w:name="_f6wwqeqg44zr" w:id="26"/>
      <w:bookmarkEnd w:id="26"/>
      <w:r w:rsidDel="00000000" w:rsidR="00000000" w:rsidRPr="00000000">
        <w:rPr>
          <w:rFonts w:ascii="Times New Roman" w:cs="Times New Roman" w:eastAsia="Times New Roman" w:hAnsi="Times New Roman"/>
          <w:color w:val="000000"/>
          <w:sz w:val="24"/>
          <w:szCs w:val="24"/>
          <w:rtl w:val="0"/>
        </w:rPr>
        <w:t xml:space="preserve">Taux d’utilisation du matériel : </w:t>
      </w:r>
      <w:r w:rsidDel="00000000" w:rsidR="00000000" w:rsidRPr="00000000">
        <w:rPr>
          <w:rFonts w:ascii="Times New Roman" w:cs="Times New Roman" w:eastAsia="Times New Roman" w:hAnsi="Times New Roman"/>
          <w:sz w:val="24"/>
          <w:szCs w:val="24"/>
          <w:rtl w:val="0"/>
        </w:rPr>
        <w:t xml:space="preserve">Nous n’avons pas pu obtenir les données concernant les taux </w:t>
      </w:r>
      <w:r w:rsidDel="00000000" w:rsidR="00000000" w:rsidRPr="00000000">
        <w:rPr>
          <w:rFonts w:ascii="Times New Roman" w:cs="Times New Roman" w:eastAsia="Times New Roman" w:hAnsi="Times New Roman"/>
          <w:sz w:val="24"/>
          <w:szCs w:val="24"/>
          <w:rtl w:val="0"/>
        </w:rPr>
        <w:t xml:space="preserve">d’utilisation des équipements. Mais, au vu du niveau d’activité et des volumes traités par l’entreprise, le matériel doit être utilisé de manière régulière pour répondre aux besoins de la clientèle professionnelle.</w:t>
      </w:r>
    </w:p>
    <w:p w:rsidR="00000000" w:rsidDel="00000000" w:rsidP="00000000" w:rsidRDefault="00000000" w:rsidRPr="00000000" w14:paraId="0000012E">
      <w:pPr>
        <w:spacing w:after="240" w:before="240" w:lineRule="auto"/>
        <w:ind w:right="-589.7244094488178"/>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sz w:val="24"/>
          <w:szCs w:val="24"/>
          <w:rtl w:val="0"/>
        </w:rPr>
        <w:t xml:space="preserve">L’analyse du taux d’utilisation permet de déterminer si les équipements sont proches de la saturation ou, au contraire, s’ils disposent de marges de capacité. Ici nous estimons que les équipements ont bien été utilisés. Cet élément est important pour apprécier la capacité de l’entreprise à absorber une augmentation de la production sans investissements immédiats.</w:t>
      </w:r>
      <w:r w:rsidDel="00000000" w:rsidR="00000000" w:rsidRPr="00000000">
        <w:rPr>
          <w:rtl w:val="0"/>
        </w:rPr>
      </w:r>
    </w:p>
    <w:p w:rsidR="00000000" w:rsidDel="00000000" w:rsidP="00000000" w:rsidRDefault="00000000" w:rsidRPr="00000000" w14:paraId="0000012F">
      <w:pPr>
        <w:pStyle w:val="Heading2"/>
        <w:keepNext w:val="0"/>
        <w:keepLines w:val="0"/>
        <w:spacing w:after="80" w:lineRule="auto"/>
        <w:ind w:right="-589.7244094488178"/>
        <w:rPr>
          <w:rFonts w:ascii="Times New Roman" w:cs="Times New Roman" w:eastAsia="Times New Roman" w:hAnsi="Times New Roman"/>
          <w:sz w:val="24"/>
          <w:szCs w:val="24"/>
        </w:rPr>
      </w:pPr>
      <w:bookmarkStart w:colFirst="0" w:colLast="0" w:name="_c3f5d28pi1mr" w:id="27"/>
      <w:bookmarkEnd w:id="27"/>
      <w:r w:rsidDel="00000000" w:rsidR="00000000" w:rsidRPr="00000000">
        <w:rPr>
          <w:rFonts w:ascii="Times New Roman" w:cs="Times New Roman" w:eastAsia="Times New Roman" w:hAnsi="Times New Roman"/>
          <w:b w:val="1"/>
          <w:bCs w:val="1"/>
          <w:color w:val="0000ff"/>
          <w:sz w:val="24"/>
          <w:szCs w:val="24"/>
          <w:rtl w:val="0"/>
        </w:rPr>
        <w:t xml:space="preserve">b) Le diagnostic des installations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0">
      <w:pPr>
        <w:pStyle w:val="Heading3"/>
        <w:keepNext w:val="0"/>
        <w:keepLines w:val="0"/>
        <w:spacing w:before="280" w:lineRule="auto"/>
        <w:ind w:right="-589.7244094488178"/>
        <w:rPr>
          <w:rFonts w:ascii="Times New Roman" w:cs="Times New Roman" w:eastAsia="Times New Roman" w:hAnsi="Times New Roman"/>
          <w:b w:val="1"/>
          <w:bCs w:val="1"/>
          <w:color w:val="000000"/>
          <w:sz w:val="24"/>
          <w:szCs w:val="24"/>
        </w:rPr>
      </w:pPr>
      <w:bookmarkStart w:colFirst="0" w:colLast="0" w:name="_r5d28ohjw0b1" w:id="28"/>
      <w:bookmarkEnd w:id="28"/>
      <w:r w:rsidDel="00000000" w:rsidR="00000000" w:rsidRPr="00000000">
        <w:rPr>
          <w:rFonts w:ascii="Times New Roman" w:cs="Times New Roman" w:eastAsia="Times New Roman" w:hAnsi="Times New Roman"/>
          <w:b w:val="1"/>
          <w:bCs w:val="1"/>
          <w:color w:val="000000"/>
          <w:sz w:val="24"/>
          <w:szCs w:val="24"/>
          <w:rtl w:val="0"/>
        </w:rPr>
        <w:t xml:space="preserve">Les locaux</w:t>
      </w:r>
    </w:p>
    <w:p w:rsidR="00000000" w:rsidDel="00000000" w:rsidP="00000000" w:rsidRDefault="00000000" w:rsidRPr="00000000" w14:paraId="00000131">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SAS Daudruy Van Cauwenberghe est implantée sur un site industriel d’environ 22 hectares, situé dans la zone industrielle de Petite-Synthe à Dunkerque. Cette superficie importante constitue un atout majeur pour l’entreprise, car elle permet de regrouper sur un même site les activités de production, de stockage, de logistique et les fonctions administratives.</w:t>
      </w:r>
    </w:p>
    <w:p w:rsidR="00000000" w:rsidDel="00000000" w:rsidP="00000000" w:rsidRDefault="00000000" w:rsidRPr="00000000" w14:paraId="00000132">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surface disponible est largement adaptée aux besoins de l’activité actuelle. Elle permet d’accueillir les équipements industriels nécessaires à la transformation et au raffinage des matières premières oléagineuses, ainsi que des zones de stockage suffisantes pour gérer des volumes importants. Lors de notre visite, nous avons observé et appris qu’ils disposaient d’un canal au bout de l’usine, ce qui leur permet de recevoir et livrer des produits par voie maritime. Cette capacité foncière offre également des possibilités d’évolution, notamment en cas d’augmentation de l’activité ou d’investissement dans de nouveaux équipements, sans contrainte immédiate liée à l’espace.</w:t>
      </w:r>
    </w:p>
    <w:p w:rsidR="00000000" w:rsidDel="00000000" w:rsidP="00000000" w:rsidRDefault="00000000" w:rsidRPr="00000000" w14:paraId="00000133">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matière de Qualité, Sécurité et Environnement (QSE), l’activité exercée par l’entreprise est soumise à une réglementation stricte, notamment en raison de la manipulation et du stockage de matières premières industrielles. Le maintien de l’activité sur un site industriel de cette taille implique le respect des normes en vigueur relatives à la sécurité des installations, à la protection des salariés et à la prévention des risques environnementaux. Les locaux doivent notamment répondre à des exigences en matière de sécurité incendie, de gestion des risques industriels et de protection de l’environnement. A chaque fois que l’entreprise embauche un nouveau salarié (CDI, CDD, saisonnier, stagiaire…) ils le forme à bien respecter toute ces règles. </w:t>
      </w:r>
    </w:p>
    <w:p w:rsidR="00000000" w:rsidDel="00000000" w:rsidP="00000000" w:rsidRDefault="00000000" w:rsidRPr="00000000" w14:paraId="00000134">
      <w:pPr>
        <w:pStyle w:val="Heading3"/>
        <w:keepNext w:val="0"/>
        <w:keepLines w:val="0"/>
        <w:spacing w:before="280" w:lineRule="auto"/>
        <w:ind w:right="-589.7244094488178"/>
        <w:rPr>
          <w:rFonts w:ascii="Times New Roman" w:cs="Times New Roman" w:eastAsia="Times New Roman" w:hAnsi="Times New Roman"/>
          <w:b w:val="1"/>
          <w:bCs w:val="1"/>
          <w:color w:val="000000"/>
          <w:sz w:val="24"/>
          <w:szCs w:val="24"/>
        </w:rPr>
      </w:pPr>
      <w:bookmarkStart w:colFirst="0" w:colLast="0" w:name="_sqzli9f8uemk" w:id="29"/>
      <w:bookmarkEnd w:id="29"/>
      <w:r w:rsidDel="00000000" w:rsidR="00000000" w:rsidRPr="00000000">
        <w:rPr>
          <w:rFonts w:ascii="Times New Roman" w:cs="Times New Roman" w:eastAsia="Times New Roman" w:hAnsi="Times New Roman"/>
          <w:b w:val="1"/>
          <w:bCs w:val="1"/>
          <w:color w:val="000000"/>
          <w:sz w:val="24"/>
          <w:szCs w:val="24"/>
          <w:rtl w:val="0"/>
        </w:rPr>
        <w:t xml:space="preserve">Les installations</w:t>
      </w:r>
    </w:p>
    <w:p w:rsidR="00000000" w:rsidDel="00000000" w:rsidP="00000000" w:rsidRDefault="00000000" w:rsidRPr="00000000" w14:paraId="00000135">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installations techniques regroupent l’ensemble des équipements fixes nécessaires au fonctionnement de l’activité industrielle. Elles jouent un rôle central dans la qualité des produits, la sécurité des salariés et le respect des normes environnementales.</w:t>
      </w:r>
    </w:p>
    <w:p w:rsidR="00000000" w:rsidDel="00000000" w:rsidP="00000000" w:rsidRDefault="00000000" w:rsidRPr="00000000" w14:paraId="00000136">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Compte tenu du secteur d’activité, les installations doivent répondre à des exigences élevées en matière de conformité réglementaire, notamment en ce qui concerne la sécurité des procédés, la maîtrise des risques industriels et la gestion des impacts environnementaux. L’existence d’un site industriel exploité de longue date laisse supposer que les installations ont été conçues et adaptées pour répondre à ces contraintes, avec des dispositifs de sécurité et de contrôle appropriés.</w:t>
      </w:r>
    </w:p>
    <w:p w:rsidR="00000000" w:rsidDel="00000000" w:rsidP="00000000" w:rsidRDefault="00000000" w:rsidRPr="00000000" w14:paraId="00000137">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L’ergonomie des postes de travail constitue également un point important du diagnostic. Les activités de production et de manutention exposent les salariés à des risques physiques, ce qui impose une organisation des postes visant à limiter les efforts excessifs, les gestes répétitifs et les situations dangereuses. En tant qu’entreprise industrielle, la société est tenue de mettre en place des équipements de protection, des aménagements adaptés et des procédures de prévention afin de garantir des conditions de travail conformes aux obligations légales. Par exemple des chaussures de sécurité et des bleus de travail de qualité pour les ouvriers ; des chaises de bureau confortable pour les employés de bureau qui passent la journée devant leur ordinateur. </w:t>
      </w:r>
    </w:p>
    <w:p w:rsidR="00000000" w:rsidDel="00000000" w:rsidP="00000000" w:rsidRDefault="00000000" w:rsidRPr="00000000" w14:paraId="00000138">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Dans une logique de reprise, il sera néanmoins essentiel d’évaluer précisément l’état des installations et l’organisation des postes de travail, afin d’identifier d’éventuels besoins d’amélioration ou de mise à jour, notamment au regard des normes actuelles en matière de sécurité, d’ergonomie et d’environnement.</w:t>
      </w:r>
    </w:p>
    <w:p w:rsidR="00000000" w:rsidDel="00000000" w:rsidP="00000000" w:rsidRDefault="00000000" w:rsidRPr="00000000" w14:paraId="00000139">
      <w:pPr>
        <w:numPr>
          <w:ilvl w:val="0"/>
          <w:numId w:val="4"/>
        </w:numPr>
        <w:spacing w:after="240" w:before="240" w:lineRule="auto"/>
        <w:ind w:left="720" w:right="-589.7244094488178" w:hanging="360"/>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Le diagnostic de l’organisation de la production</w:t>
      </w:r>
      <w:r w:rsidDel="00000000" w:rsidR="00000000" w:rsidRPr="00000000">
        <w:rPr>
          <w:rtl w:val="0"/>
        </w:rPr>
      </w:r>
    </w:p>
    <w:p w:rsidR="00000000" w:rsidDel="00000000" w:rsidP="00000000" w:rsidRDefault="00000000" w:rsidRPr="00000000" w14:paraId="0000013A">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Le savoir faire</w:t>
      </w:r>
    </w:p>
    <w:p w:rsidR="00000000" w:rsidDel="00000000" w:rsidP="00000000" w:rsidRDefault="00000000" w:rsidRPr="00000000" w14:paraId="0000013B">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SAS Daudruy Van Cauwenberghe dispose d’un savoir-faire technique important, directement lié à son activité de transformation et de négoce de matières premières oléagineuses. Ce savoir-faire repose sur la maîtrise de procédés industriels spécifiques nécessitant des compétences techniques élevées, notamment en matière de manipulation, de traitement et de stockage de produits sensibles.</w:t>
      </w:r>
    </w:p>
    <w:p w:rsidR="00000000" w:rsidDel="00000000" w:rsidP="00000000" w:rsidRDefault="00000000" w:rsidRPr="00000000" w14:paraId="0000013C">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savoir-faire constitue un atout essentiel pour l’entreprise, car il garantit la qualité des produits, le respect des exigences des clients professionnels et la conformité aux normes réglementaires. Il représente également une barrière à l’entrée pour de nouveaux concurrents, dans la mesure où il repose sur une expérience acquise sur le long terme. Lors de nos échanges,  ils nous ont appris  qu’ils détiennent un grand nombre de certifications.  </w:t>
      </w:r>
    </w:p>
    <w:p w:rsidR="00000000" w:rsidDel="00000000" w:rsidP="00000000" w:rsidRDefault="00000000" w:rsidRPr="00000000" w14:paraId="0000013D">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 le plan matériel, le savoir-faire est étroitement lié à l’utilisation d’équipements industriels spécifiques, adaptés aux procédés de production de l’entreprise. Les investissements réalisés dans le matériel et les installations permettent de maintenir un niveau de performance technique cohérent avec les exigences du marché. La présence de dotations aux amortissements dans les comptes traduit l’existence d’investissements réguliers visant à entretenir ou renouveler l’outil de production.</w:t>
      </w:r>
    </w:p>
    <w:p w:rsidR="00000000" w:rsidDel="00000000" w:rsidP="00000000" w:rsidRDefault="00000000" w:rsidRPr="00000000" w14:paraId="0000013E">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 savoir-faire technique permet à la SAS Daudruy Van Cauwenberghe d’être bien positionnée par rapport à ses concurrents. La maîtrise de procédés industriels spécifiques et l’expérience acquise au fil des années constituent un avantage concurrentiel, notamment en termes de qualité, de fiabilité et de conformité aux normes. Ce savoir-faire favorise la fidélisation de la clientèle professionnelle et renforce la position de l’entreprise sur son marché.</w:t>
      </w:r>
    </w:p>
    <w:p w:rsidR="00000000" w:rsidDel="00000000" w:rsidP="00000000" w:rsidRDefault="00000000" w:rsidRPr="00000000" w14:paraId="0000013F">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Gestion de la production</w:t>
      </w:r>
    </w:p>
    <w:p w:rsidR="00000000" w:rsidDel="00000000" w:rsidP="00000000" w:rsidRDefault="00000000" w:rsidRPr="00000000" w14:paraId="00000140">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production de la SAS Daudruy Van Cauwenberghe repose sur un processus de production structuré, adapté à son activité de transformation et de négoce de matières premières oléagineuses. Ce processus comprend plusieurs étapes, depuis la réception des matières premières jusqu’à leur transformation, leur stockage et leur expédition vers les clients.</w:t>
      </w:r>
    </w:p>
    <w:p w:rsidR="00000000" w:rsidDel="00000000" w:rsidP="00000000" w:rsidRDefault="00000000" w:rsidRPr="00000000" w14:paraId="00000141">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réalise principalement sa production en interne, ce qui lui permet de maîtriser la qualité des produits et le respect des délais. Le recours à la sous-traitance est limité. Toutefois, la sous-traitance pourrait être envisagée de manière ponctuelle en cas de hausse temporaire de l’activité ou de contrainte technique, afin d’assurer la continuité de la production.</w:t>
      </w:r>
    </w:p>
    <w:p w:rsidR="00000000" w:rsidDel="00000000" w:rsidP="00000000" w:rsidRDefault="00000000" w:rsidRPr="00000000" w14:paraId="00000142">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L’organisation mise en place repose sur une bonne coordination entre les équipes de production, la gestion des stocks et la logistique. Cette organisation permet d’assurer une production régulière et fiable. Elle offre également une certaine flexibilité, notamment pour s’adapter aux variations de la demande ou aux contraintes liées aux matières premières.</w:t>
      </w:r>
    </w:p>
    <w:p w:rsidR="00000000" w:rsidDel="00000000" w:rsidP="00000000" w:rsidRDefault="00000000" w:rsidRPr="00000000" w14:paraId="00000143">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Afin de faire face à une éventuelle panne de matériel, des solutions sont prévues, comme la maintenance des équipements (il existe des équipes de maintenance en astreinte qui sont prêt à se rendre sur place au cas où il y aurait une panne) et la réorganisation temporaire de la production. Ces dispositifs permettent de limiter les interruptions d’activité et de garantir la continuité de la production.</w:t>
      </w:r>
    </w:p>
    <w:p w:rsidR="00000000" w:rsidDel="00000000" w:rsidP="00000000" w:rsidRDefault="00000000" w:rsidRPr="00000000" w14:paraId="00000144">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Enfin, l’entreprise doit respecter des normes de qualité, de sécurité et d’environnement, imposées par la réglementation et par les exigences de ses clients professionnels. Même si les certifications précises ne sont pas connues, le respect de ces normes contribue à la fiabilité du processus de production.</w:t>
      </w:r>
    </w:p>
    <w:p w:rsidR="00000000" w:rsidDel="00000000" w:rsidP="00000000" w:rsidRDefault="00000000" w:rsidRPr="00000000" w14:paraId="00000145">
      <w:pPr>
        <w:spacing w:after="240" w:before="240" w:lineRule="auto"/>
        <w:ind w:left="0" w:right="-589.724409448817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Stocks</w:t>
      </w:r>
      <w:r w:rsidDel="00000000" w:rsidR="00000000" w:rsidRPr="00000000">
        <w:rPr>
          <w:rtl w:val="0"/>
        </w:rPr>
      </w:r>
    </w:p>
    <w:p w:rsidR="00000000" w:rsidDel="00000000" w:rsidP="00000000" w:rsidRDefault="00000000" w:rsidRPr="00000000" w14:paraId="00000146">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gestion des stocks est un élément stratégique pour la SAS Daudruy Van Cauwenberghe, car son activité repose sur la transformation et le raffinage de matières premières oléagineuses. L’entreprise travaille notamment avec différentes huiles et graines telles que le colza, le tournesol, le lin ou encore le coprah, qui sont ensuite transformées pour produire des huiles, des acides gras ou des coproduits destinés à différents secteurs industriels.</w:t>
      </w:r>
    </w:p>
    <w:p w:rsidR="00000000" w:rsidDel="00000000" w:rsidP="00000000" w:rsidRDefault="00000000" w:rsidRPr="00000000" w14:paraId="00000147">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D’après le bilan de l’entreprise, le montant des stocks s’élève à 57 474 217€ en N contre 49 739 558 € en N-1, ce qui montre que les stocks représentent une part importante de l’actif de l’entreprise. Cette évolution peut s’expliquer par la nécessité de maintenir un niveau de matières premières suffisant pour répondre aux besoins de production et aux commandes des clients.</w:t>
      </w:r>
    </w:p>
    <w:p w:rsidR="00000000" w:rsidDel="00000000" w:rsidP="00000000" w:rsidRDefault="00000000" w:rsidRPr="00000000" w14:paraId="00000148">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volumes de matières premières stockés sont donc relativement élevés, ce qui est cohérent avec l’activité industrielle de l’entreprise. Cependant, ces stocks doivent être gérés de manière rigoureuse afin d’éviter une immobilisation trop importante de trésorerie.</w:t>
      </w:r>
    </w:p>
    <w:p w:rsidR="00000000" w:rsidDel="00000000" w:rsidP="00000000" w:rsidRDefault="00000000" w:rsidRPr="00000000" w14:paraId="00000149">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prix des matières premières oléagineuses peuvent varier fortement selon les marchés agricoles et internationaux. Par exemple, le colza, qui est l’une des matières premières majeures utilisées par l’entreprise, se situe actuellement autour de 500 € la tonne sur le marché européen. Ces variations de prix peuvent avoir un impact direct sur la valeur des stocks et sur la rentabilité de l’entreprise, ce qui rend leur suivi particulièrement important dans la gestion financière. </w:t>
      </w:r>
    </w:p>
    <w:p w:rsidR="00000000" w:rsidDel="00000000" w:rsidP="00000000" w:rsidRDefault="00000000" w:rsidRPr="00000000" w14:paraId="0000014A">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réalise également des inventaires réguliers afin de vérifier les quantités réellement présentes en stock et d’assurer la fiabilité des données comptables. Ces inventaires permettent de limiter les écarts entre les stocks réels et les stocks comptabilisés.</w:t>
      </w:r>
    </w:p>
    <w:p w:rsidR="00000000" w:rsidDel="00000000" w:rsidP="00000000" w:rsidRDefault="00000000" w:rsidRPr="00000000" w14:paraId="0000014B">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rotation des stocks est un indicateur important pour analyser la gestion des matières premières. Elle permet de mesurer la vitesse à laquelle les stocks sont utilisés dans le processus de production. Une rotation satisfaisante permet de limiter les coûts de stockage tout en garantissant l’approvisionnement nécessaire à l’activité.</w:t>
      </w:r>
    </w:p>
    <w:p w:rsidR="00000000" w:rsidDel="00000000" w:rsidP="00000000" w:rsidRDefault="00000000" w:rsidRPr="00000000" w14:paraId="0000014C">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Concernant l’évaluation comptable, les stocks sont valorisés selon une méthode d’évaluation comptable, permettant de déterminer leur valeur dans le bilan de l’entreprise. Cette valorisation influence directement le résultat comptable.</w:t>
      </w:r>
    </w:p>
    <w:p w:rsidR="00000000" w:rsidDel="00000000" w:rsidP="00000000" w:rsidRDefault="00000000" w:rsidRPr="00000000" w14:paraId="0000014D">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Logistique </w:t>
      </w:r>
    </w:p>
    <w:p w:rsidR="00000000" w:rsidDel="00000000" w:rsidP="00000000" w:rsidRDefault="00000000" w:rsidRPr="00000000" w14:paraId="0000014E">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SAS Daudruy Van Cauwenberghe dispose principalement d’une logistique interne, notamment pour la gestion des flux de matières premières et de produits au sein de son site industriel. Le site de production, qui s’étend sur 22 hectares, permet à l’entreprise d’organiser le stockage, la manutention et la circulation des marchandises directement sur place.</w:t>
      </w:r>
    </w:p>
    <w:p w:rsidR="00000000" w:rsidDel="00000000" w:rsidP="00000000" w:rsidRDefault="00000000" w:rsidRPr="00000000" w14:paraId="0000014F">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L’entreprise réceptionne les matières premières oléagineuses (comme le colza, le tournesol ou le lin) puis les stocke et les transforme sur son site industriel avant leur expédition vers les clients. Cette organisation interne permet de mieux contrôler les flux de production, les délais et la qualité des produits.</w:t>
      </w:r>
    </w:p>
    <w:p w:rsidR="00000000" w:rsidDel="00000000" w:rsidP="00000000" w:rsidRDefault="00000000" w:rsidRPr="00000000" w14:paraId="00000150">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Cependant, une partie de la logistique peut être externalisée, notamment pour le transport des matières premières ou la livraison des produits finis vers les clients. Le recours à des transporteurs spécialisés permet à l’entreprise de s’adapter aux volumes importants traités et de répondre aux besoins de distribution à plus grande échelle.</w:t>
      </w:r>
    </w:p>
    <w:p w:rsidR="00000000" w:rsidDel="00000000" w:rsidP="00000000" w:rsidRDefault="00000000" w:rsidRPr="00000000" w14:paraId="00000151">
      <w:pPr>
        <w:spacing w:after="240" w:before="240" w:lineRule="auto"/>
        <w:ind w:right="-589.724409448817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2">
      <w:pPr>
        <w:spacing w:after="240" w:before="240" w:lineRule="auto"/>
        <w:ind w:left="0" w:right="-589.7244094488178"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Fournisseur </w:t>
      </w:r>
    </w:p>
    <w:p w:rsidR="00000000" w:rsidDel="00000000" w:rsidP="00000000" w:rsidRDefault="00000000" w:rsidRPr="00000000" w14:paraId="00000153">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SAS Daudruy Van Cauwenberghe s’approvisionne auprès de différents fournisseurs spécialisés dans les matières premières oléagineuses. Parmi eux, on peut citer l’entreprise Huilerie de Tahiti, qui fournit du coprah destiné à la production d’huile de coco. L’entreprise travaille également avec des coopératives agricoles européennes pour l’achat de graines comme le colza, le tournesol ou le lin, ainsi qu’avec des négociants internationaux du secteur des huiles végétales.</w:t>
      </w:r>
    </w:p>
    <w:p w:rsidR="00000000" w:rsidDel="00000000" w:rsidP="00000000" w:rsidRDefault="00000000" w:rsidRPr="00000000" w14:paraId="00000154">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mode de référencement et de gestion des fournisseurs repose sur la sélection de partenaires capables de fournir des matières premières de qualité et conformes aux normes du secteur. Il y a la norme ISO 9001, c’est la norme internationale de management de la qualité. Elle garantit que l’entreprise met en place des procédures pour assurer la qualité et la traçabilité de ses produits. Et la norme ISO 22000, la norme dédiée à la sécurité alimentaire. Elle permet de maîtriser les risques sanitaires tout au long de la chaîne de production. De plus, l’entreprise privilégie des fournisseurs fiables afin de garantir la continuité de l’approvisionnement et la qualité des produits transformés. La gestion des fournisseurs repose donc sur des relations commerciales suivies et sur des critères tels que la qualité des matières premières, les prix proposés et la capacité à respecter les délais de livraison.</w:t>
      </w:r>
    </w:p>
    <w:p w:rsidR="00000000" w:rsidDel="00000000" w:rsidP="00000000" w:rsidRDefault="00000000" w:rsidRPr="00000000" w14:paraId="00000155">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Concernant les conditions de paiement, les relations commerciales entre l’entreprise et ses fournisseurs reposent généralement sur des délais de paiement définis dans les contrats commerciaux. Dans le secteur industriel, ces délais se situent souvent autour de 30 à 60 jours, ce qui permet à l’entreprise de gérer sa trésorerie tout en maintenant de bonnes relations avec ses partenaires.</w:t>
      </w:r>
    </w:p>
    <w:p w:rsidR="00000000" w:rsidDel="00000000" w:rsidP="00000000" w:rsidRDefault="00000000" w:rsidRPr="00000000" w14:paraId="00000156">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délais de livraison des matières premières dépendent de leur origine et du mode de transport utilisé. L'entreprise transforme environ 150 000 tonnes de matières premières par an, ce qui nécessite une organisation logistique efficace.</w:t>
      </w:r>
    </w:p>
    <w:p w:rsidR="00000000" w:rsidDel="00000000" w:rsidP="00000000" w:rsidRDefault="00000000" w:rsidRPr="00000000" w14:paraId="00000157">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Pour les matières premières provenant de fournisseurs européens ou français (comme le colza, le tournesol ou le lin), les délais de livraison sont généralement courts, souvent compris entre 2 et 5 jours grâce au transport routier. En revanche, pour certaines matières premières importées, comme le coprah ou certaines huiles tropicales, le transport maritime est nécessaire. Les délais peuvent alors atteindre 2 à 4 semaines selon l’origine des cargaisons.</w:t>
      </w:r>
    </w:p>
    <w:p w:rsidR="00000000" w:rsidDel="00000000" w:rsidP="00000000" w:rsidRDefault="00000000" w:rsidRPr="00000000" w14:paraId="00000158">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localisation de l’entreprise à Dunkerque, à proximité du port, facilite ces approvisionnements et permet de sécuriser les flux de matières premières nécessaires à la production.</w:t>
      </w:r>
    </w:p>
    <w:p w:rsidR="00000000" w:rsidDel="00000000" w:rsidP="00000000" w:rsidRDefault="00000000" w:rsidRPr="00000000" w14:paraId="00000159">
      <w:pPr>
        <w:spacing w:after="240" w:before="240" w:lineRule="auto"/>
        <w:ind w:right="-589.7244094488178"/>
        <w:rPr>
          <w:rFonts w:ascii="Times New Roman" w:cs="Times New Roman" w:eastAsia="Times New Roman" w:hAnsi="Times New Roman"/>
          <w:b w:val="1"/>
          <w:bCs w:val="1"/>
          <w:color w:val="38761d"/>
          <w:sz w:val="24"/>
          <w:szCs w:val="24"/>
          <w:u w:val="single"/>
        </w:rPr>
      </w:pPr>
      <w:r w:rsidDel="00000000" w:rsidR="00000000" w:rsidRPr="00000000">
        <w:rPr>
          <w:rFonts w:ascii="Times New Roman" w:cs="Times New Roman" w:eastAsia="Times New Roman" w:hAnsi="Times New Roman"/>
          <w:b w:val="1"/>
          <w:bCs w:val="1"/>
          <w:color w:val="38761d"/>
          <w:sz w:val="24"/>
          <w:szCs w:val="24"/>
          <w:u w:val="single"/>
          <w:rtl w:val="0"/>
        </w:rPr>
        <w:t xml:space="preserve">VII- Le diagnostic “Ressources Humaines”</w:t>
      </w:r>
    </w:p>
    <w:p w:rsidR="00000000" w:rsidDel="00000000" w:rsidP="00000000" w:rsidRDefault="00000000" w:rsidRPr="00000000" w14:paraId="0000015A">
      <w:pPr>
        <w:pStyle w:val="Heading2"/>
        <w:keepNext w:val="0"/>
        <w:keepLines w:val="0"/>
        <w:spacing w:after="80" w:lineRule="auto"/>
        <w:ind w:right="-589.7244094488178"/>
        <w:rPr>
          <w:rFonts w:ascii="Times New Roman" w:cs="Times New Roman" w:eastAsia="Times New Roman" w:hAnsi="Times New Roman"/>
          <w:b w:val="1"/>
          <w:bCs w:val="1"/>
          <w:color w:val="0000ff"/>
          <w:sz w:val="24"/>
          <w:szCs w:val="24"/>
        </w:rPr>
      </w:pPr>
      <w:bookmarkStart w:colFirst="0" w:colLast="0" w:name="_76x9d3fropcd" w:id="30"/>
      <w:bookmarkEnd w:id="30"/>
      <w:r w:rsidDel="00000000" w:rsidR="00000000" w:rsidRPr="00000000">
        <w:rPr>
          <w:rFonts w:ascii="Times New Roman" w:cs="Times New Roman" w:eastAsia="Times New Roman" w:hAnsi="Times New Roman"/>
          <w:b w:val="1"/>
          <w:bCs w:val="1"/>
          <w:color w:val="0000ff"/>
          <w:sz w:val="24"/>
          <w:szCs w:val="24"/>
          <w:rtl w:val="0"/>
        </w:rPr>
        <w:t xml:space="preserve">a) Identifier les principaux risques de conflits sociaux qui pourraient survenir dans l’entreprise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15B">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Les recherches effectuées ne font pas apparaître de contentieux majeurs concernant l’entreprise ciblée. Aucun litige important avec les salariés, les clients ou les fournisseurs n’a été identifié. Cela peut traduire une gestion plutôt stable des relations sociales et commerciales.</w:t>
      </w:r>
    </w:p>
    <w:p w:rsidR="00000000" w:rsidDel="00000000" w:rsidP="00000000" w:rsidRDefault="00000000" w:rsidRPr="00000000" w14:paraId="0000015C">
      <w:pPr>
        <w:spacing w:after="240" w:before="240" w:lineRule="auto"/>
        <w:ind w:right="-589.7244094488178"/>
        <w:rPr>
          <w:rFonts w:ascii="Times New Roman" w:cs="Times New Roman" w:eastAsia="Times New Roman" w:hAnsi="Times New Roman"/>
          <w:b w:val="1"/>
          <w:bCs w:val="1"/>
          <w:color w:val="0d0d0d"/>
          <w:sz w:val="24"/>
          <w:szCs w:val="24"/>
        </w:rPr>
      </w:pPr>
      <w:r w:rsidDel="00000000" w:rsidR="00000000" w:rsidRPr="00000000">
        <w:rPr>
          <w:rFonts w:ascii="Times New Roman" w:cs="Times New Roman" w:eastAsia="Times New Roman" w:hAnsi="Times New Roman"/>
          <w:sz w:val="24"/>
          <w:szCs w:val="24"/>
          <w:rtl w:val="0"/>
        </w:rPr>
        <w:t xml:space="preserve">Mais, comme dans toute entreprise industrielle, certains conflits peuvent exister, par exemple des litiges prud’homaux liés aux conditions de travail, des désaccords commerciaux avec des fournisseurs ou encore des obligations réglementaires à respecter.</w:t>
      </w:r>
      <w:r w:rsidDel="00000000" w:rsidR="00000000" w:rsidRPr="00000000">
        <w:rPr>
          <w:rtl w:val="0"/>
        </w:rPr>
      </w:r>
    </w:p>
    <w:p w:rsidR="00000000" w:rsidDel="00000000" w:rsidP="00000000" w:rsidRDefault="00000000" w:rsidRPr="00000000" w14:paraId="0000015D">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sz w:val="24"/>
          <w:szCs w:val="24"/>
        </w:rPr>
      </w:pPr>
      <w:bookmarkStart w:colFirst="0" w:colLast="0" w:name="_7irfkdooirji" w:id="31"/>
      <w:bookmarkEnd w:id="31"/>
      <w:r w:rsidDel="00000000" w:rsidR="00000000" w:rsidRPr="00000000">
        <w:rPr>
          <w:rFonts w:ascii="Times New Roman" w:cs="Times New Roman" w:eastAsia="Times New Roman" w:hAnsi="Times New Roman"/>
          <w:b w:val="1"/>
          <w:bCs w:val="1"/>
          <w:color w:val="0d0d0d"/>
          <w:sz w:val="24"/>
          <w:szCs w:val="24"/>
          <w:rtl w:val="0"/>
        </w:rPr>
        <w:t xml:space="preserve">Les relations collectives de travail</w:t>
      </w:r>
      <w:r w:rsidDel="00000000" w:rsidR="00000000" w:rsidRPr="00000000">
        <w:rPr>
          <w:rtl w:val="0"/>
        </w:rPr>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L’analyse des relations collectives de travail permet de comprendre concrètement comment sont organisées les relations entre l’entreprise et ses salariés, ainsi que les règles qui encadrent leur travail au quotidien.</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cas de Daudruy Van Cauwenberghe, l’entreprise relève d’une convention collective du secteur industriel, adaptée à son activité de transformation de matières grasses. Cette convention fixe des éléments précis comme les grilles de salaires minimum, les horaires de travail, les majorations (heures supplémentaires, travail de nuit), les congés ou encore les règles de sécurité. Elle constitue une base obligatoire que l’entreprise doit respecter.</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complément, l’entreprise met en place des accords internes qui permettent d’adapter ces règles à son fonctionnement industriel. Par exemple, dans une activité où la production peut être continue (24h/24), il est fréquent de mettre en place des organisations spécifiques du temps de travail (équipes, rotations, travail posté). Ces accords peuvent aussi concerner les primes (prime d’équipe, prime de performance) ou certaines conditions de travail. Ils sont négociés avec les représentants du personnel, généralement au sein du CSE (Comité Social et Économique).</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existe également des usages internes, c’est-à-dire des pratiques installées dans le temps, comme certaines primes régulières, des avantages sociaux (mutuelle, tickets restaurant) ou des habitudes d’organisation. Même s’ils ne sont pas écrits dans un contrat, ces usages peuvent continuer à s’appliquer après une reprise, sauf s’ils sont officiellement supprimés en respectant une procédure précise.</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ces éléments sont très importants, car ils ont un impact direct sur :</w:t>
      </w:r>
    </w:p>
    <w:p w:rsidR="00000000" w:rsidDel="00000000" w:rsidP="00000000" w:rsidRDefault="00000000" w:rsidRPr="00000000" w14:paraId="00000163">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le coût du travail (salaires, primes, avantages),</w:t>
      </w:r>
    </w:p>
    <w:p w:rsidR="00000000" w:rsidDel="00000000" w:rsidP="00000000" w:rsidRDefault="00000000" w:rsidRPr="00000000" w14:paraId="00000164">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l’organisation de la production (horaires, équipes),</w:t>
      </w:r>
    </w:p>
    <w:p w:rsidR="00000000" w:rsidDel="00000000" w:rsidP="00000000" w:rsidRDefault="00000000" w:rsidRPr="00000000" w14:paraId="00000165">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et le climat social (motivation des salariés, relations internes).</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Cela signifie qu’on ne pourra pas tout modifier librement après la reprise. Il faudra donc bien analyser ces règles en amont pour éviter des coûts imprévus ou des tensions avec les salariés.</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tl w:val="0"/>
        </w:rPr>
      </w:r>
    </w:p>
    <w:p w:rsidR="00000000" w:rsidDel="00000000" w:rsidP="00000000" w:rsidRDefault="00000000" w:rsidRPr="00000000" w14:paraId="00000168">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sz w:val="24"/>
          <w:szCs w:val="24"/>
        </w:rPr>
      </w:pPr>
      <w:bookmarkStart w:colFirst="0" w:colLast="0" w:name="_ijckmoq45erf" w:id="32"/>
      <w:bookmarkEnd w:id="32"/>
      <w:r w:rsidDel="00000000" w:rsidR="00000000" w:rsidRPr="00000000">
        <w:rPr>
          <w:rFonts w:ascii="Times New Roman" w:cs="Times New Roman" w:eastAsia="Times New Roman" w:hAnsi="Times New Roman"/>
          <w:b w:val="1"/>
          <w:bCs w:val="1"/>
          <w:color w:val="0d0d0d"/>
          <w:sz w:val="24"/>
          <w:szCs w:val="24"/>
          <w:rtl w:val="0"/>
        </w:rPr>
        <w:t xml:space="preserve">Les instances représentatives du personnel et le climat social</w:t>
      </w:r>
      <w:r w:rsidDel="00000000" w:rsidR="00000000" w:rsidRPr="00000000">
        <w:rPr>
          <w:rtl w:val="0"/>
        </w:rPr>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Au sein de cette société, comme dans toute entreprise de cette taille, il existe des instances représentatives du personnel. Depuis les réformes récentes, celles-ci sont généralement regroupées au sein du Comité Social et Économique (CSE), qui remplace les anciens délégués du personnel (DP), comité d’entreprise (CE) et CHSCT.</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CSE permet de représenter les salariés auprès de la direction, notamment sur les questions liées aux conditions de travail, à la sécurité, à l’organisation du travail et aux décisions économiques de l’entreprise. Il joue donc un rôle important dans le dialogue social.</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b w:val="1"/>
          <w:bCs w:val="1"/>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Cela est un point positif car il favorise la continuité de l’activité et limite les risques de tensions internes.</w:t>
      </w:r>
      <w:r w:rsidDel="00000000" w:rsidR="00000000" w:rsidRPr="00000000">
        <w:rPr>
          <w:rtl w:val="0"/>
        </w:rPr>
      </w:r>
    </w:p>
    <w:p w:rsidR="00000000" w:rsidDel="00000000" w:rsidP="00000000" w:rsidRDefault="00000000" w:rsidRPr="00000000" w14:paraId="0000016C">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v6hv634dw79h" w:id="33"/>
      <w:bookmarkEnd w:id="33"/>
      <w:r w:rsidDel="00000000" w:rsidR="00000000" w:rsidRPr="00000000">
        <w:rPr>
          <w:rFonts w:ascii="Times New Roman" w:cs="Times New Roman" w:eastAsia="Times New Roman" w:hAnsi="Times New Roman"/>
          <w:b w:val="1"/>
          <w:bCs w:val="1"/>
          <w:color w:val="0d0d0d"/>
          <w:sz w:val="24"/>
          <w:szCs w:val="24"/>
          <w:rtl w:val="0"/>
        </w:rPr>
        <w:t xml:space="preserve">Les relations individuelles de travail</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salariés occupent des postes variés liés à l’activité industrielle (production, maintenance, logistique, fonctions administratives). Chaque individu a une place définie dans l’organigramme.</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profil des postes repose sur des emplois techniques nécessitant des compétences spécifiques, notamment dans la production et la manipulation de matières premières. Les salariés doivent donc disposer d’un niveau de qualification adapté, avec un certain degré de responsabilité, notamment en matière de sécurité et de qualité. Le temps de travail est organisé en fonction des contraintes de production, ce qui peut impliquer des horaires spécifiques ou du travail en équipe.</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L’analyse permet d’évaluer si les salariés sont adaptés à leur poste et si leurs compétences correspondent aux besoins actuels de l’entreprise. Globalement, l’expérience et le savoir-faire des équipes constituent un atout, mais ils peuvent aussi créer une dépendance à certains profils clés.</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certaines situations contractuelles spécifiques existent comme des clauses de mobilité, de non-concurrence ou des conventions particulières (forfait jours, avantages spécifiques). </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il est important de prendre en compte les situations individuelles particulières, comme les arrêts de travail, congés ou suspensions de contrat, qui peuvent influencer l’organisation de l’entreprise à court terme.</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analyse est essentielle afin de vérifier l’adéquation entre les ressources humaines et les besoins de l’entreprise, et d’anticiper les éventuels ajustements à mettre en place.</w:t>
      </w:r>
    </w:p>
    <w:p w:rsidR="00000000" w:rsidDel="00000000" w:rsidP="00000000" w:rsidRDefault="00000000" w:rsidRPr="00000000" w14:paraId="00000173">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l302942wx6wp" w:id="34"/>
      <w:bookmarkEnd w:id="34"/>
      <w:r w:rsidDel="00000000" w:rsidR="00000000" w:rsidRPr="00000000">
        <w:rPr>
          <w:rtl w:val="0"/>
        </w:rPr>
      </w:r>
    </w:p>
    <w:p w:rsidR="00000000" w:rsidDel="00000000" w:rsidP="00000000" w:rsidRDefault="00000000" w:rsidRPr="00000000" w14:paraId="00000174">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rPr>
      </w:pPr>
      <w:bookmarkStart w:colFirst="0" w:colLast="0" w:name="_dvmt1ts4gk3f" w:id="35"/>
      <w:bookmarkEnd w:id="35"/>
      <w:r w:rsidDel="00000000" w:rsidR="00000000" w:rsidRPr="00000000">
        <w:rPr>
          <w:rFonts w:ascii="Times New Roman" w:cs="Times New Roman" w:eastAsia="Times New Roman" w:hAnsi="Times New Roman"/>
          <w:b w:val="1"/>
          <w:bCs w:val="1"/>
          <w:color w:val="0d0d0d"/>
          <w:sz w:val="24"/>
          <w:szCs w:val="24"/>
          <w:rtl w:val="0"/>
        </w:rPr>
        <w:t xml:space="preserve">Comparaison avec les entreprises du secteur</w:t>
      </w:r>
      <w:r w:rsidDel="00000000" w:rsidR="00000000" w:rsidRPr="00000000">
        <w:rPr>
          <w:rtl w:val="0"/>
        </w:rPr>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évolue dans un secteur industriel où les pratiques sociales sont assez encadrées, notamment par les conventions collectives.</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Concernant la politique de rémunération, les entreprises du secteur proposent généralement des salaires adaptés aux postes techniques, souvent accompagnés d’avantages comme un 13ᵉ mois, des primes ou des avantages sociaux (tickets restaurant, mutuelle, etc.). Même si nous n’avons pas eu le droit à ces informations, on peut supposer que l’entreprise s’aligne globalement sur ces pratiques pour rester attractive et conserver ses salariés.</w:t>
      </w:r>
      <w:r w:rsidDel="00000000" w:rsidR="00000000" w:rsidRPr="00000000">
        <w:rPr>
          <w:rtl w:val="0"/>
        </w:rPr>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Le niveau de qualification des salariés est également comparable à celui du secteur. L’activité industrielle nécessite des compétences techniques spécifiques, notamment pour la production, la maintenance ou la logistique. Cela implique des salariés qualifiés et formés, ce qui représente un point positif pour l’entreprise.</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Le taux d’absentéisme est un indicateur important dans les entreprises industrielles, notamment en raison des contraintes physiques liées aux postes de production. Il se situe donc généralement autour de 5 à 6 %, ce qui correspond à un niveau considéré comme normal. Ce taux est maîtrisé et permet de garantir la continuité de la production, de limiter les désorganisations internes et de réduire les coûts liés aux remplacements ou aux arrêts de travail.</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Il est donc important de comparer ces éléments avec ceux de l’entreprise acquéreuse. Des différences en matière de salaires ou d’avantages peuvent nécessiter des ajustements, entraînant des coûts supplémentaires. Ces derniers doivent être pris en compte dans le projet de reprise et peuvent impacter le prix d’achat de l’entreprise.</w:t>
      </w:r>
    </w:p>
    <w:p w:rsidR="00000000" w:rsidDel="00000000" w:rsidP="00000000" w:rsidRDefault="00000000" w:rsidRPr="00000000" w14:paraId="0000017A">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highlight w:val="white"/>
        </w:rPr>
      </w:pPr>
      <w:bookmarkStart w:colFirst="0" w:colLast="0" w:name="_bhrreoielag7" w:id="36"/>
      <w:bookmarkEnd w:id="36"/>
      <w:r w:rsidDel="00000000" w:rsidR="00000000" w:rsidRPr="00000000">
        <w:rPr>
          <w:rtl w:val="0"/>
        </w:rPr>
      </w:r>
    </w:p>
    <w:p w:rsidR="00000000" w:rsidDel="00000000" w:rsidP="00000000" w:rsidRDefault="00000000" w:rsidRPr="00000000" w14:paraId="0000017B">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highlight w:val="white"/>
        </w:rPr>
      </w:pPr>
      <w:bookmarkStart w:colFirst="0" w:colLast="0" w:name="_px7tg0u3xcdt" w:id="37"/>
      <w:bookmarkEnd w:id="37"/>
      <w:r w:rsidDel="00000000" w:rsidR="00000000" w:rsidRPr="00000000">
        <w:rPr>
          <w:rFonts w:ascii="Times New Roman" w:cs="Times New Roman" w:eastAsia="Times New Roman" w:hAnsi="Times New Roman"/>
          <w:b w:val="1"/>
          <w:bCs w:val="1"/>
          <w:color w:val="0d0d0d"/>
          <w:sz w:val="24"/>
          <w:szCs w:val="24"/>
          <w:highlight w:val="white"/>
          <w:rtl w:val="0"/>
        </w:rPr>
        <w:t xml:space="preserve">Les contrats de travail particuliers et les coûts potentiels</w:t>
      </w:r>
      <w:r w:rsidDel="00000000" w:rsidR="00000000" w:rsidRPr="00000000">
        <w:rPr>
          <w:rtl w:val="0"/>
        </w:rPr>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Certains salariés peuvent bénéficier de conditions contractuelles spécifiques, notamment pour les postes à responsabilité (cadres, direction). Ces contrats peuvent prévoir des durées de préavis plus longues que les obligations légales, ce qui peut retarder une éventuelle réorganisation.</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De plus, certains contrats peuvent inclure des indemnités de licenciement supérieures au minimum légal ou conventionnel, notamment pour les salariés ayant une ancienneté importante ou des fonctions stratégiques. Cela peut représenter un coût significatif en cas de restructuration.</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Il existe des clauses spécifiques, comme :</w:t>
      </w:r>
    </w:p>
    <w:p w:rsidR="00000000" w:rsidDel="00000000" w:rsidP="00000000" w:rsidRDefault="00000000" w:rsidRPr="00000000" w14:paraId="0000017F">
      <w:pPr>
        <w:numPr>
          <w:ilvl w:val="0"/>
          <w:numId w:val="1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des clauses de non-concurrence (avec indemnisation),</w:t>
      </w:r>
    </w:p>
    <w:p w:rsidR="00000000" w:rsidDel="00000000" w:rsidP="00000000" w:rsidRDefault="00000000" w:rsidRPr="00000000" w14:paraId="00000180">
      <w:pPr>
        <w:numPr>
          <w:ilvl w:val="0"/>
          <w:numId w:val="12"/>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des clauses de mobilité,</w:t>
      </w:r>
    </w:p>
    <w:p w:rsidR="00000000" w:rsidDel="00000000" w:rsidP="00000000" w:rsidRDefault="00000000" w:rsidRPr="00000000" w14:paraId="00000181">
      <w:pPr>
        <w:numPr>
          <w:ilvl w:val="0"/>
          <w:numId w:val="12"/>
        </w:numPr>
        <w:pBdr>
          <w:top w:color="auto" w:space="0" w:sz="0" w:val="none"/>
          <w:left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ou des dispositifs de type forfait jours pour les cadres.</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Dans certains cas, des avantages particuliers peuvent être accordés à certains salariés (primes, avantages en nature, etc.), ce qui constitue aussi un engagement pour le repreneur.</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Enfin, la présence éventuelle de contrats suspendus (arrêt maladie, accident du travail, congé maternité) peut également impacter l’organisation et générer des coûts indirects (remplacements, désorganisation).</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highlight w:val="white"/>
        </w:rPr>
      </w:pPr>
      <w:r w:rsidDel="00000000" w:rsidR="00000000" w:rsidRPr="00000000">
        <w:rPr>
          <w:rFonts w:ascii="Times New Roman" w:cs="Times New Roman" w:eastAsia="Times New Roman" w:hAnsi="Times New Roman"/>
          <w:color w:val="0d0d0d"/>
          <w:sz w:val="24"/>
          <w:szCs w:val="24"/>
          <w:highlight w:val="white"/>
          <w:rtl w:val="0"/>
        </w:rPr>
        <w:t xml:space="preserve">Ainsi, l’analyse de ces contrats est essentielle, car ils peuvent entraîner des coûts futurs importants et doivent être pris en compte dans l’évaluation globale de l’entreprise et dans la stratégie de reprise.</w:t>
      </w:r>
    </w:p>
    <w:p w:rsidR="00000000" w:rsidDel="00000000" w:rsidP="00000000" w:rsidRDefault="00000000" w:rsidRPr="00000000" w14:paraId="00000185">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highlight w:val="white"/>
        </w:rPr>
      </w:pPr>
      <w:bookmarkStart w:colFirst="0" w:colLast="0" w:name="_i9oty3hpds28" w:id="38"/>
      <w:bookmarkEnd w:id="38"/>
      <w:r w:rsidDel="00000000" w:rsidR="00000000" w:rsidRPr="00000000">
        <w:rPr>
          <w:rtl w:val="0"/>
        </w:rPr>
      </w:r>
    </w:p>
    <w:p w:rsidR="00000000" w:rsidDel="00000000" w:rsidP="00000000" w:rsidRDefault="00000000" w:rsidRPr="00000000" w14:paraId="00000186">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highlight w:val="white"/>
        </w:rPr>
      </w:pPr>
      <w:bookmarkStart w:colFirst="0" w:colLast="0" w:name="_fi6xsli2fhbw" w:id="39"/>
      <w:bookmarkEnd w:id="39"/>
      <w:r w:rsidDel="00000000" w:rsidR="00000000" w:rsidRPr="00000000">
        <w:rPr>
          <w:rFonts w:ascii="Times New Roman" w:cs="Times New Roman" w:eastAsia="Times New Roman" w:hAnsi="Times New Roman"/>
          <w:b w:val="1"/>
          <w:bCs w:val="1"/>
          <w:color w:val="0d0d0d"/>
          <w:sz w:val="24"/>
          <w:szCs w:val="24"/>
          <w:highlight w:val="white"/>
          <w:rtl w:val="0"/>
        </w:rPr>
        <w:t xml:space="preserve">Les intervenants externes et le risque de lien de subordination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peut faire appel à des intervenants externes, tels que des intérimaires, des prestataires ou des sous-traitants, notamment pour des besoins ponctuels liés à la production, à la maintenance ou à la logistique.</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recours à l’intérim est fréquent dans le secteur industriel, notamment pour faire face à des pics d’activité ou à des absences. Ces travailleurs restent juridiquement liés à leur agence d’intérim, ce qui limite le risque pour l’entreprise.</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revanche, certains prestataires ou micro-entrepreneurs peuvent intervenir de manière régulière, voire quasi exclusive pour l’entreprise. Dans ce cas, il existe un risque de requalification en contrat de travail s’il est démontré qu’un lien de subordination existe (horaires imposés, directives précises, intégration dans l’organisation de l’entreprise).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 type de situation peut entraîner des conséquences juridiques et financières importantes, comme le paiement de cotisations sociales ou des sanctions.</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est important de vérifier la situation de ces intervenants externes afin de s’assurer qu’il n’existe pas de risque de requalification, pouvant représenter un coût supplémentaire pour le repreneur.</w:t>
      </w:r>
    </w:p>
    <w:p w:rsidR="00000000" w:rsidDel="00000000" w:rsidP="00000000" w:rsidRDefault="00000000" w:rsidRPr="00000000" w14:paraId="0000018C">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rPr>
      </w:pPr>
      <w:bookmarkStart w:colFirst="0" w:colLast="0" w:name="_si9zrifxa2qw" w:id="40"/>
      <w:bookmarkEnd w:id="40"/>
      <w:r w:rsidDel="00000000" w:rsidR="00000000" w:rsidRPr="00000000">
        <w:rPr>
          <w:rFonts w:ascii="Times New Roman" w:cs="Times New Roman" w:eastAsia="Times New Roman" w:hAnsi="Times New Roman"/>
          <w:b w:val="1"/>
          <w:bCs w:val="1"/>
          <w:color w:val="0d0d0d"/>
          <w:sz w:val="24"/>
          <w:szCs w:val="24"/>
          <w:rtl w:val="0"/>
        </w:rPr>
        <w:t xml:space="preserve">Situation des cadres liés à une autre structure</w:t>
      </w:r>
      <w:r w:rsidDel="00000000" w:rsidR="00000000" w:rsidRPr="00000000">
        <w:rPr>
          <w:rtl w:val="0"/>
        </w:rPr>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faut vérifier si certains cadres (direction, fonctions support, experts techniques) sont dans cette situation. Cela peut concerner, par exemple, des dirigeants ou des cadres mis à disposition par une autre entité.</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situation peut avoir plusieurs conséquences :</w:t>
      </w:r>
    </w:p>
    <w:p w:rsidR="00000000" w:rsidDel="00000000" w:rsidP="00000000" w:rsidRDefault="00000000" w:rsidRPr="00000000" w14:paraId="0000018F">
      <w:pPr>
        <w:numPr>
          <w:ilvl w:val="0"/>
          <w:numId w:val="9"/>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une dépendance vis-à-vis d’une autre structure,</w:t>
      </w:r>
    </w:p>
    <w:p w:rsidR="00000000" w:rsidDel="00000000" w:rsidP="00000000" w:rsidRDefault="00000000" w:rsidRPr="00000000" w14:paraId="00000190">
      <w:pPr>
        <w:numPr>
          <w:ilvl w:val="0"/>
          <w:numId w:val="9"/>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une incertitude sur la continuité de ces fonctions après la reprise,</w:t>
      </w:r>
    </w:p>
    <w:p w:rsidR="00000000" w:rsidDel="00000000" w:rsidP="00000000" w:rsidRDefault="00000000" w:rsidRPr="00000000" w14:paraId="00000191">
      <w:pPr>
        <w:numPr>
          <w:ilvl w:val="0"/>
          <w:numId w:val="9"/>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ou encore des coûts supplémentaires si le repreneur doit recruter ou internaliser ces postes.</w:t>
      </w:r>
    </w:p>
    <w:p w:rsidR="00000000" w:rsidDel="00000000" w:rsidP="00000000" w:rsidRDefault="00000000" w:rsidRPr="00000000" w14:paraId="00000192">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rhhwjyjw18bp" w:id="41"/>
      <w:bookmarkEnd w:id="41"/>
      <w:r w:rsidDel="00000000" w:rsidR="00000000" w:rsidRPr="00000000">
        <w:rPr>
          <w:rFonts w:ascii="Times New Roman" w:cs="Times New Roman" w:eastAsia="Times New Roman" w:hAnsi="Times New Roman"/>
          <w:b w:val="1"/>
          <w:bCs w:val="1"/>
          <w:color w:val="0d0d0d"/>
          <w:sz w:val="24"/>
          <w:szCs w:val="24"/>
          <w:rtl w:val="0"/>
        </w:rPr>
        <w:t xml:space="preserve">La pyramide des âges et les risques associés</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L’analyse de la pyramide des âges permet d’évaluer la répartition des salariés par tranche d’âge, afin d’identifier d’éventuels risques sociaux.</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une entreprise industrielle, la présence d’un nombre important de salariés proches de l’âge de la retraite peut entraîner un risque de départs massifs à moyen terme. Cela peut générer des coûts liés au remplacement des salariés, mais aussi une perte de savoir-faire, notamment pour les postes techniques nécessitant de l’expérience. À l’inverse, une population plus jeune peut nécessiter davantage de formation et d’accompagnement, mais offre une meilleure perspective à long terme.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Nous avons donc analysé cette pyramide des âges afin d’anticiper les départs à la retraite, de prévoir les recrutements futurs et d’organiser la transmission des compétences.</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grâce aux échanges réalisés avec les salariés lors de notre immersion dans l’entreprise, nous avons pu constater que la majorité d’entre eux se situe dans une tranche d’âge intermédiaire, généralement entre 30 et 50 ans. Cela traduit une certaine stabilité de la main-d’œuvre et limite les risques liés à des départs massifs à la retraite à court ou moyen terme. Pour nous, en tant que repreneurs, cela constitue un point rassurant, car il n’y a pas de déséquilibre majeur dans la pyramide des âges à anticiper.</w:t>
      </w:r>
    </w:p>
    <w:p w:rsidR="00000000" w:rsidDel="00000000" w:rsidP="00000000" w:rsidRDefault="00000000" w:rsidRPr="00000000" w14:paraId="00000197">
      <w:pPr>
        <w:pStyle w:val="Heading2"/>
        <w:keepNext w:val="0"/>
        <w:keepLines w:val="0"/>
        <w:spacing w:after="80" w:lineRule="auto"/>
        <w:ind w:right="-589.7244094488178"/>
        <w:rPr>
          <w:rFonts w:ascii="Times New Roman" w:cs="Times New Roman" w:eastAsia="Times New Roman" w:hAnsi="Times New Roman"/>
          <w:color w:val="0d0d0d"/>
          <w:sz w:val="24"/>
          <w:szCs w:val="24"/>
        </w:rPr>
      </w:pPr>
      <w:bookmarkStart w:colFirst="0" w:colLast="0" w:name="_fs4l876sqacl" w:id="42"/>
      <w:bookmarkEnd w:id="42"/>
      <w:r w:rsidDel="00000000" w:rsidR="00000000" w:rsidRPr="00000000">
        <w:rPr>
          <w:rFonts w:ascii="Times New Roman" w:cs="Times New Roman" w:eastAsia="Times New Roman" w:hAnsi="Times New Roman"/>
          <w:b w:val="1"/>
          <w:bCs w:val="1"/>
          <w:color w:val="0000ff"/>
          <w:sz w:val="24"/>
          <w:szCs w:val="24"/>
          <w:rtl w:val="0"/>
        </w:rPr>
        <w:t xml:space="preserve">b) Analyser les risques spécifiques liés au personnel dirigeant de la société cible</w:t>
      </w:r>
      <w:r w:rsidDel="00000000" w:rsidR="00000000" w:rsidRPr="00000000">
        <w:rPr>
          <w:rtl w:val="0"/>
        </w:rPr>
      </w:r>
    </w:p>
    <w:p w:rsidR="00000000" w:rsidDel="00000000" w:rsidP="00000000" w:rsidRDefault="00000000" w:rsidRPr="00000000" w14:paraId="00000198">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8eyofqn69a6l" w:id="43"/>
      <w:bookmarkEnd w:id="43"/>
      <w:r w:rsidDel="00000000" w:rsidR="00000000" w:rsidRPr="00000000">
        <w:rPr>
          <w:rFonts w:ascii="Times New Roman" w:cs="Times New Roman" w:eastAsia="Times New Roman" w:hAnsi="Times New Roman"/>
          <w:b w:val="1"/>
          <w:bCs w:val="1"/>
          <w:color w:val="0d0d0d"/>
          <w:sz w:val="24"/>
          <w:szCs w:val="24"/>
          <w:rtl w:val="0"/>
        </w:rPr>
        <w:t xml:space="preserve">L’impact du départ de l’équipe dirigeante</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départ de l’équipe dirigeante de la Daudruy Van Cauwenberghe peut avoir des conséquences importantes, à la fois en interne et en externe.</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interne, le départ des dirigeants peut entraîner une période d’incertitude pour les salariés, notamment en ce qui concerne les orientations stratégiques de l’entreprise ou l’organisation du travail. Cela peut affecter la motivation des équipes et perturber le climat social, surtout si les dirigeants actuels jouent un rôle important dans la gestion quotidienne ou dans la transmission du savoir-faire.</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externe, ce départ peut également impacter les relations avec les clients et les fournisseurs. En effet, dans ce type d’activité, les relations commerciales reposent souvent sur la confiance et des contacts établis de longue date. Le changement de direction peut donc fragiliser certaines relations, notamment si les partenaires s’interrogent sur la continuité de l’activité ou la stratégie future de l’entreprise.</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Cependant, cet impact peut être limité si une transition est bien préparée, avec un accompagnement des anciens dirigeants ou une transmission progressive des responsabilités.</w:t>
      </w:r>
    </w:p>
    <w:p w:rsidR="00000000" w:rsidDel="00000000" w:rsidP="00000000" w:rsidRDefault="00000000" w:rsidRPr="00000000" w14:paraId="0000019D">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wzaowtg81889" w:id="44"/>
      <w:bookmarkEnd w:id="44"/>
      <w:r w:rsidDel="00000000" w:rsidR="00000000" w:rsidRPr="00000000">
        <w:rPr>
          <w:rFonts w:ascii="Times New Roman" w:cs="Times New Roman" w:eastAsia="Times New Roman" w:hAnsi="Times New Roman"/>
          <w:b w:val="1"/>
          <w:bCs w:val="1"/>
          <w:color w:val="0d0d0d"/>
          <w:sz w:val="24"/>
          <w:szCs w:val="24"/>
          <w:rtl w:val="0"/>
        </w:rPr>
        <w:t xml:space="preserve">L’assurance homme clé</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dirigeant, Dominique Daudruy, occupe une place centrale dans le fonctionnement de l’entreprise, tant au niveau stratégique que commercial. Il constitue donc un homme clé.</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ce type de structure industrielle, la mise en place d’un contrat d’assurance homme clé est un dispositif essentiel permettant de protéger l’entreprise contre les conséquences financières liées à l’absence ou au décès du dirigeant. Ce contrat permet notamment de compenser une perte d’activité et de faciliter la réorganisation de l’entreprise.</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présence d’un tel dispositif contribue à sécuriser l’entreprise et constitue un élément positif dans le cadre d’un projet de reprise, en limitant les risques liés à la dépendance à une personne clé.</w:t>
      </w:r>
    </w:p>
    <w:p w:rsidR="00000000" w:rsidDel="00000000" w:rsidP="00000000" w:rsidRDefault="00000000" w:rsidRPr="00000000" w14:paraId="000001A1">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rPr>
      </w:pPr>
      <w:bookmarkStart w:colFirst="0" w:colLast="0" w:name="_i1xs1k94c371" w:id="45"/>
      <w:bookmarkEnd w:id="45"/>
      <w:r w:rsidDel="00000000" w:rsidR="00000000" w:rsidRPr="00000000">
        <w:rPr>
          <w:rFonts w:ascii="Times New Roman" w:cs="Times New Roman" w:eastAsia="Times New Roman" w:hAnsi="Times New Roman"/>
          <w:b w:val="1"/>
          <w:bCs w:val="1"/>
          <w:color w:val="0d0d0d"/>
          <w:sz w:val="24"/>
          <w:szCs w:val="24"/>
          <w:rtl w:val="0"/>
        </w:rPr>
        <w:t xml:space="preserve">Les clauses parachutes des dirigeants</w:t>
      </w:r>
      <w:r w:rsidDel="00000000" w:rsidR="00000000" w:rsidRPr="00000000">
        <w:rPr>
          <w:rtl w:val="0"/>
        </w:rPr>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est important d’identifier l’existence de clauses parachutes dans les contrats des dirigeants, notamment pour des postes clés comme la direction.</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étant fortement structurée autour de son équipe dirigeante, en particulier de Dominique Daudruy, ces contrats peuvent prévoir des indemnités de départ élevées ainsi que des délais de préavis longs en cas de rupture du contrat. Ce type de clauses vise à protéger les dirigeants en cas de changement de contrôle de l’entreprise.</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Certaines clauses peuvent représenter un coût important, notamment si le repreneur souhaite modifier l’organisation ou remplacer certains membres de la direction.</w:t>
      </w:r>
    </w:p>
    <w:p w:rsidR="00000000" w:rsidDel="00000000" w:rsidP="00000000" w:rsidRDefault="00000000" w:rsidRPr="00000000" w14:paraId="000001A5">
      <w:pPr>
        <w:ind w:right="-589.724409448817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6">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baakrz2kcw51" w:id="46"/>
      <w:bookmarkEnd w:id="46"/>
      <w:r w:rsidDel="00000000" w:rsidR="00000000" w:rsidRPr="00000000">
        <w:rPr>
          <w:rFonts w:ascii="Times New Roman" w:cs="Times New Roman" w:eastAsia="Times New Roman" w:hAnsi="Times New Roman"/>
          <w:b w:val="1"/>
          <w:bCs w:val="1"/>
          <w:color w:val="0d0d0d"/>
          <w:sz w:val="24"/>
          <w:szCs w:val="24"/>
          <w:rtl w:val="0"/>
        </w:rPr>
        <w:t xml:space="preserve">Les conventions et accords collectifs applicables</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évolue dans le secteur de la transformation des huiles et matières grasses, relevant d’une activité industrielle. À ce titre, l’entreprise est soumise à une convention collective de branche, qui encadre les conditions de travail des salariés (rémunération, temps de travail, congés, sécurité, etc.).</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convention collective s’applique à l’ensemble des salariés et constitue un cadre juridique obligatoire pour l’entreprise. Elle permet notamment d’adapter les règles du droit du travail aux spécificités du secteur industriel.</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complément, l’entreprise peut avoir mis en place des accords collectifs internes, notamment sur :</w:t>
      </w:r>
    </w:p>
    <w:p w:rsidR="00000000" w:rsidDel="00000000" w:rsidP="00000000" w:rsidRDefault="00000000" w:rsidRPr="00000000" w14:paraId="000001AA">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l’organisation du temps de travail (horaires, travail posté),</w:t>
      </w:r>
    </w:p>
    <w:p w:rsidR="00000000" w:rsidDel="00000000" w:rsidP="00000000" w:rsidRDefault="00000000" w:rsidRPr="00000000" w14:paraId="000001AB">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les primes ou avantages,</w:t>
      </w:r>
    </w:p>
    <w:p w:rsidR="00000000" w:rsidDel="00000000" w:rsidP="00000000" w:rsidRDefault="00000000" w:rsidRPr="00000000" w14:paraId="000001AC">
      <w:pPr>
        <w:numPr>
          <w:ilvl w:val="0"/>
          <w:numId w:val="1"/>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ou les conditions de travail liées à l’activité industrielle.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Ces accords permettent d’adapter le fonctionnement de l’entreprise à ses contraintes spécifiques, notamment liées à la production continue et aux exigences de sécurité.</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Ces conventions et accords s’imposent au repreneur. Ils peuvent donc avoir un impact direct sur le coût du travail et l’organisation de l’entreprise.</w:t>
      </w:r>
    </w:p>
    <w:p w:rsidR="00000000" w:rsidDel="00000000" w:rsidP="00000000" w:rsidRDefault="00000000" w:rsidRPr="00000000" w14:paraId="000001AF">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rPr>
      </w:pPr>
      <w:bookmarkStart w:colFirst="0" w:colLast="0" w:name="_8ph0myyg89a5" w:id="47"/>
      <w:bookmarkEnd w:id="47"/>
      <w:r w:rsidDel="00000000" w:rsidR="00000000" w:rsidRPr="00000000">
        <w:rPr>
          <w:rFonts w:ascii="Times New Roman" w:cs="Times New Roman" w:eastAsia="Times New Roman" w:hAnsi="Times New Roman"/>
          <w:b w:val="1"/>
          <w:bCs w:val="1"/>
          <w:color w:val="0d0d0d"/>
          <w:sz w:val="24"/>
          <w:szCs w:val="24"/>
          <w:rtl w:val="0"/>
        </w:rPr>
        <w:t xml:space="preserve">Les procédures internes et les usages en vigueur</w:t>
      </w:r>
      <w:r w:rsidDel="00000000" w:rsidR="00000000" w:rsidRPr="00000000">
        <w:rPr>
          <w:rtl w:val="0"/>
        </w:rPr>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L’activité industrielle implique la mise en place de procédures internes strictes, notamment en matière de production, de sécurité et de qualité. Ces procédures sont généralement formalisées dans des documents internes (consignes, protocoles, règles de sécurité) que les salariés doivent respecter au quotidien.</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Ces règles permettent d’assurer le bon fonctionnement de l’entreprise, de limiter les risques professionnels et de garantir la conformité aux normes du secteur.</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il y a des usages en vigueur, c’est-à-dire des pratiques mises en place de manière régulière au sein de l’entreprise (primes, avantages, organisation du travail…).</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L’ancienneté des salariés, souvent importante dans ce type d’entreprise industrielle, peut renforcer ces usages, notamment en matière d’avantages ou de conditions de travail. </w:t>
      </w:r>
      <w:r w:rsidDel="00000000" w:rsidR="00000000" w:rsidRPr="00000000">
        <w:rPr>
          <w:rFonts w:ascii="Times New Roman" w:cs="Times New Roman" w:eastAsia="Times New Roman" w:hAnsi="Times New Roman"/>
          <w:color w:val="0d0d0d"/>
          <w:sz w:val="24"/>
          <w:szCs w:val="24"/>
          <w:highlight w:val="white"/>
          <w:rtl w:val="0"/>
        </w:rPr>
        <w:t xml:space="preserve">Cette situation ne s’applique pas dans le cas de cette entreprise.</w:t>
      </w:r>
      <w:r w:rsidDel="00000000" w:rsidR="00000000" w:rsidRPr="00000000">
        <w:rPr>
          <w:rtl w:val="0"/>
        </w:rPr>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Il est donc essentiel d’identifier ces procédures et usages, car ils s’imposent en partie au repreneur et peuvent avoir un impact sur l’organisation et les coûts de l’entreprise.</w:t>
      </w:r>
    </w:p>
    <w:p w:rsidR="00000000" w:rsidDel="00000000" w:rsidP="00000000" w:rsidRDefault="00000000" w:rsidRPr="00000000" w14:paraId="000001B5">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rPr>
      </w:pPr>
      <w:bookmarkStart w:colFirst="0" w:colLast="0" w:name="_7n1uppf4cgmi" w:id="48"/>
      <w:bookmarkEnd w:id="48"/>
      <w:r w:rsidDel="00000000" w:rsidR="00000000" w:rsidRPr="00000000">
        <w:rPr>
          <w:rFonts w:ascii="Times New Roman" w:cs="Times New Roman" w:eastAsia="Times New Roman" w:hAnsi="Times New Roman"/>
          <w:b w:val="1"/>
          <w:bCs w:val="1"/>
          <w:color w:val="0d0d0d"/>
          <w:sz w:val="24"/>
          <w:szCs w:val="24"/>
          <w:rtl w:val="0"/>
        </w:rPr>
        <w:t xml:space="preserve">Le règlement intérieur</w:t>
      </w:r>
      <w:r w:rsidDel="00000000" w:rsidR="00000000" w:rsidRPr="00000000">
        <w:rPr>
          <w:rtl w:val="0"/>
        </w:rPr>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dispose d’un règlement intérieur, obligatoire dans les entreprises de cette taille. Ce document fixe les règles générales applicables aux salariés au sein de l’entreprise: </w:t>
      </w:r>
    </w:p>
    <w:p w:rsidR="00000000" w:rsidDel="00000000" w:rsidP="00000000" w:rsidRDefault="00000000" w:rsidRPr="00000000" w14:paraId="000001B7">
      <w:pPr>
        <w:numPr>
          <w:ilvl w:val="0"/>
          <w:numId w:val="11"/>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les règles de sécurité (très importantes en raison des machines et des matières manipulées),</w:t>
      </w:r>
    </w:p>
    <w:p w:rsidR="00000000" w:rsidDel="00000000" w:rsidP="00000000" w:rsidRDefault="00000000" w:rsidRPr="00000000" w14:paraId="000001B8">
      <w:pPr>
        <w:numPr>
          <w:ilvl w:val="0"/>
          <w:numId w:val="1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les conditions de travail,</w:t>
      </w:r>
    </w:p>
    <w:p w:rsidR="00000000" w:rsidDel="00000000" w:rsidP="00000000" w:rsidRDefault="00000000" w:rsidRPr="00000000" w14:paraId="000001B9">
      <w:pPr>
        <w:numPr>
          <w:ilvl w:val="0"/>
          <w:numId w:val="11"/>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la discipline (respect des consignes, horaires, comportements),</w:t>
      </w:r>
    </w:p>
    <w:p w:rsidR="00000000" w:rsidDel="00000000" w:rsidP="00000000" w:rsidRDefault="00000000" w:rsidRPr="00000000" w14:paraId="000001BA">
      <w:pPr>
        <w:numPr>
          <w:ilvl w:val="0"/>
          <w:numId w:val="11"/>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ainsi que les sanctions applicables en cas de non-respect des règles.</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 règlement est essentiel pour garantir le bon fonctionnement de l’entreprise et prévenir les risques professionnels.</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Le règlement intérieur s’impose au repreneur. Il devra donc être respecté, sauf modification dans le respect des procédures légales, ce qui peut limiter la marge de manœuvre en matière d’organisation interne.</w:t>
      </w:r>
      <w:r w:rsidDel="00000000" w:rsidR="00000000" w:rsidRPr="00000000">
        <w:rPr>
          <w:rtl w:val="0"/>
        </w:rPr>
      </w:r>
    </w:p>
    <w:p w:rsidR="00000000" w:rsidDel="00000000" w:rsidP="00000000" w:rsidRDefault="00000000" w:rsidRPr="00000000" w14:paraId="000001BD">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bsye18qbp5lz" w:id="49"/>
      <w:bookmarkEnd w:id="49"/>
      <w:r w:rsidDel="00000000" w:rsidR="00000000" w:rsidRPr="00000000">
        <w:rPr>
          <w:rFonts w:ascii="Times New Roman" w:cs="Times New Roman" w:eastAsia="Times New Roman" w:hAnsi="Times New Roman"/>
          <w:b w:val="1"/>
          <w:bCs w:val="1"/>
          <w:color w:val="0d0d0d"/>
          <w:sz w:val="24"/>
          <w:szCs w:val="24"/>
          <w:rtl w:val="0"/>
        </w:rPr>
        <w:t xml:space="preserve">Organigramme </w:t>
      </w:r>
    </w:p>
    <w:p w:rsidR="00000000" w:rsidDel="00000000" w:rsidP="00000000" w:rsidRDefault="00000000" w:rsidRPr="00000000" w14:paraId="000001BE">
      <w:pPr>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L’entreprise étant assez grande, la RH souhaitait nous faire un organigramme complet. Ainsi nous ne l’avons pas encore reçu de sa part et nous espérons pouvoir le présenter à l’oral ) </w:t>
      </w:r>
    </w:p>
    <w:p w:rsidR="00000000" w:rsidDel="00000000" w:rsidP="00000000" w:rsidRDefault="00000000" w:rsidRPr="00000000" w14:paraId="000001BF">
      <w:pPr>
        <w:ind w:right="-589.724409448817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kaqdwlogpr63" w:id="50"/>
      <w:bookmarkEnd w:id="50"/>
      <w:r w:rsidDel="00000000" w:rsidR="00000000" w:rsidRPr="00000000">
        <w:rPr>
          <w:rFonts w:ascii="Times New Roman" w:cs="Times New Roman" w:eastAsia="Times New Roman" w:hAnsi="Times New Roman"/>
          <w:b w:val="1"/>
          <w:bCs w:val="1"/>
          <w:color w:val="0d0d0d"/>
          <w:sz w:val="24"/>
          <w:szCs w:val="24"/>
          <w:rtl w:val="0"/>
        </w:rPr>
        <w:t xml:space="preserve">Liste des salariés (service RH) </w:t>
      </w:r>
    </w:p>
    <w:p w:rsidR="00000000" w:rsidDel="00000000" w:rsidP="00000000" w:rsidRDefault="00000000" w:rsidRPr="00000000" w14:paraId="000001C1">
      <w:pPr>
        <w:pStyle w:val="Heading4"/>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240" w:line="360" w:lineRule="auto"/>
        <w:ind w:right="-589.7244094488178"/>
        <w:rPr>
          <w:rFonts w:ascii="Times New Roman" w:cs="Times New Roman" w:eastAsia="Times New Roman" w:hAnsi="Times New Roman"/>
          <w:b w:val="1"/>
          <w:bCs w:val="1"/>
          <w:color w:val="0d0d0d"/>
        </w:rPr>
      </w:pPr>
      <w:bookmarkStart w:colFirst="0" w:colLast="0" w:name="_j31y2lkjw4ib" w:id="51"/>
      <w:bookmarkEnd w:id="51"/>
      <w:r w:rsidDel="00000000" w:rsidR="00000000" w:rsidRPr="00000000">
        <w:rPr>
          <w:rFonts w:ascii="Times New Roman" w:cs="Times New Roman" w:eastAsia="Times New Roman" w:hAnsi="Times New Roman"/>
          <w:b w:val="1"/>
          <w:bCs w:val="1"/>
          <w:color w:val="0d0d0d"/>
          <w:rtl w:val="0"/>
        </w:rPr>
        <w:t xml:space="preserve">1. Jennifer Demersseman</w:t>
      </w:r>
    </w:p>
    <w:p w:rsidR="00000000" w:rsidDel="00000000" w:rsidP="00000000" w:rsidRDefault="00000000" w:rsidRPr="00000000" w14:paraId="000001C2">
      <w:pPr>
        <w:numPr>
          <w:ilvl w:val="0"/>
          <w:numId w:val="10"/>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Classification : Cadre</w:t>
      </w:r>
    </w:p>
    <w:p w:rsidR="00000000" w:rsidDel="00000000" w:rsidP="00000000" w:rsidRDefault="00000000" w:rsidRPr="00000000" w14:paraId="000001C3">
      <w:pPr>
        <w:numPr>
          <w:ilvl w:val="0"/>
          <w:numId w:val="10"/>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Fonction : Responsable RH</w:t>
      </w:r>
    </w:p>
    <w:p w:rsidR="00000000" w:rsidDel="00000000" w:rsidP="00000000" w:rsidRDefault="00000000" w:rsidRPr="00000000" w14:paraId="000001C4">
      <w:pPr>
        <w:numPr>
          <w:ilvl w:val="0"/>
          <w:numId w:val="10"/>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Rémunération : supérieure à 2 800 € brut/mois</w:t>
      </w:r>
    </w:p>
    <w:p w:rsidR="00000000" w:rsidDel="00000000" w:rsidP="00000000" w:rsidRDefault="00000000" w:rsidRPr="00000000" w14:paraId="000001C5">
      <w:pPr>
        <w:numPr>
          <w:ilvl w:val="0"/>
          <w:numId w:val="10"/>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Cardo" w:cs="Cardo" w:eastAsia="Cardo" w:hAnsi="Cardo"/>
          <w:color w:val="0d0d0d"/>
          <w:sz w:val="24"/>
          <w:szCs w:val="24"/>
          <w:rtl w:val="0"/>
        </w:rPr>
        <w:t xml:space="preserve">Augmentations passées : évolution de carrière interne (assistante RH → Responsable RH)</w:t>
      </w:r>
    </w:p>
    <w:p w:rsidR="00000000" w:rsidDel="00000000" w:rsidP="00000000" w:rsidRDefault="00000000" w:rsidRPr="00000000" w14:paraId="000001C6">
      <w:pPr>
        <w:numPr>
          <w:ilvl w:val="0"/>
          <w:numId w:val="10"/>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Ancienneté : environ 8 ans dans l’entreprise (depuis 2019) </w:t>
      </w:r>
    </w:p>
    <w:p w:rsidR="00000000" w:rsidDel="00000000" w:rsidP="00000000" w:rsidRDefault="00000000" w:rsidRPr="00000000" w14:paraId="000001C7">
      <w:pPr>
        <w:numPr>
          <w:ilvl w:val="0"/>
          <w:numId w:val="10"/>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Nature du contrat : CDI</w:t>
      </w:r>
      <w:r w:rsidDel="00000000" w:rsidR="00000000" w:rsidRPr="00000000">
        <w:rPr>
          <w:rtl w:val="0"/>
        </w:rPr>
      </w:r>
    </w:p>
    <w:p w:rsidR="00000000" w:rsidDel="00000000" w:rsidP="00000000" w:rsidRDefault="00000000" w:rsidRPr="00000000" w14:paraId="000001C8">
      <w:pPr>
        <w:pStyle w:val="Heading4"/>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0" w:before="240" w:line="360" w:lineRule="auto"/>
        <w:ind w:right="-589.7244094488178"/>
        <w:rPr>
          <w:rFonts w:ascii="Times New Roman" w:cs="Times New Roman" w:eastAsia="Times New Roman" w:hAnsi="Times New Roman"/>
          <w:b w:val="1"/>
          <w:bCs w:val="1"/>
          <w:color w:val="0d0d0d"/>
        </w:rPr>
      </w:pPr>
      <w:bookmarkStart w:colFirst="0" w:colLast="0" w:name="_osprhr53gxnp" w:id="52"/>
      <w:bookmarkEnd w:id="52"/>
      <w:r w:rsidDel="00000000" w:rsidR="00000000" w:rsidRPr="00000000">
        <w:rPr>
          <w:rFonts w:ascii="Times New Roman" w:cs="Times New Roman" w:eastAsia="Times New Roman" w:hAnsi="Times New Roman"/>
          <w:b w:val="1"/>
          <w:bCs w:val="1"/>
          <w:color w:val="0d0d0d"/>
          <w:rtl w:val="0"/>
        </w:rPr>
        <w:t xml:space="preserve">2</w:t>
      </w:r>
      <w:r w:rsidDel="00000000" w:rsidR="00000000" w:rsidRPr="00000000">
        <w:rPr>
          <w:rFonts w:ascii="Times New Roman" w:cs="Times New Roman" w:eastAsia="Times New Roman" w:hAnsi="Times New Roman"/>
          <w:b w:val="1"/>
          <w:bCs w:val="1"/>
          <w:color w:val="0d0d0d"/>
          <w:rtl w:val="0"/>
        </w:rPr>
        <w:t xml:space="preserve">. Laetitia Delannay</w:t>
      </w:r>
    </w:p>
    <w:p w:rsidR="00000000" w:rsidDel="00000000" w:rsidP="00000000" w:rsidRDefault="00000000" w:rsidRPr="00000000" w14:paraId="000001C9">
      <w:pPr>
        <w:numPr>
          <w:ilvl w:val="0"/>
          <w:numId w:val="5"/>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color w:val="0d0d0d"/>
          <w:sz w:val="24"/>
          <w:szCs w:val="24"/>
          <w:rtl w:val="0"/>
        </w:rPr>
        <w:t xml:space="preserve">Classification : Cadre</w:t>
      </w:r>
    </w:p>
    <w:p w:rsidR="00000000" w:rsidDel="00000000" w:rsidP="00000000" w:rsidRDefault="00000000" w:rsidRPr="00000000" w14:paraId="000001CA">
      <w:pPr>
        <w:numPr>
          <w:ilvl w:val="0"/>
          <w:numId w:val="5"/>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color w:val="0d0d0d"/>
          <w:sz w:val="24"/>
          <w:szCs w:val="24"/>
          <w:rtl w:val="0"/>
        </w:rPr>
        <w:t xml:space="preserve">Fonction : Responsable comptable</w:t>
      </w:r>
    </w:p>
    <w:p w:rsidR="00000000" w:rsidDel="00000000" w:rsidP="00000000" w:rsidRDefault="00000000" w:rsidRPr="00000000" w14:paraId="000001CB">
      <w:pPr>
        <w:numPr>
          <w:ilvl w:val="0"/>
          <w:numId w:val="5"/>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color w:val="0d0d0d"/>
          <w:sz w:val="24"/>
          <w:szCs w:val="24"/>
          <w:rtl w:val="0"/>
        </w:rPr>
        <w:t xml:space="preserve">Rémunération : entre 2 700 € et 3 000 € brut/mois </w:t>
      </w:r>
    </w:p>
    <w:p w:rsidR="00000000" w:rsidDel="00000000" w:rsidP="00000000" w:rsidRDefault="00000000" w:rsidRPr="00000000" w14:paraId="000001CC">
      <w:pPr>
        <w:numPr>
          <w:ilvl w:val="0"/>
          <w:numId w:val="5"/>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b w:val="1"/>
          <w:bCs w:val="1"/>
        </w:rPr>
      </w:pPr>
      <w:r w:rsidDel="00000000" w:rsidR="00000000" w:rsidRPr="00000000">
        <w:rPr>
          <w:rFonts w:ascii="Cardo" w:cs="Cardo" w:eastAsia="Cardo" w:hAnsi="Cardo"/>
          <w:color w:val="0d0d0d"/>
          <w:sz w:val="24"/>
          <w:szCs w:val="24"/>
          <w:rtl w:val="0"/>
        </w:rPr>
        <w:t xml:space="preserve">Augmentations passées : évolution de carrière interne (assistante comptable → Responsable comptable)</w:t>
      </w:r>
    </w:p>
    <w:p w:rsidR="00000000" w:rsidDel="00000000" w:rsidP="00000000" w:rsidRDefault="00000000" w:rsidRPr="00000000" w14:paraId="000001CD">
      <w:pPr>
        <w:numPr>
          <w:ilvl w:val="0"/>
          <w:numId w:val="5"/>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color w:val="0d0d0d"/>
          <w:sz w:val="24"/>
          <w:szCs w:val="24"/>
          <w:rtl w:val="0"/>
        </w:rPr>
        <w:t xml:space="preserve">Augmentations futures : évolution possible vers un poste de DAF (Directeur Administratif et Financier) </w:t>
      </w:r>
    </w:p>
    <w:p w:rsidR="00000000" w:rsidDel="00000000" w:rsidP="00000000" w:rsidRDefault="00000000" w:rsidRPr="00000000" w14:paraId="000001CE">
      <w:pPr>
        <w:numPr>
          <w:ilvl w:val="0"/>
          <w:numId w:val="5"/>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color w:val="0d0d0d"/>
          <w:sz w:val="24"/>
          <w:szCs w:val="24"/>
          <w:rtl w:val="0"/>
        </w:rPr>
        <w:t xml:space="preserve">Ancienneté : environ 7 ans et demi dans l’entreprise</w:t>
      </w:r>
    </w:p>
    <w:p w:rsidR="00000000" w:rsidDel="00000000" w:rsidP="00000000" w:rsidRDefault="00000000" w:rsidRPr="00000000" w14:paraId="000001CF">
      <w:pPr>
        <w:numPr>
          <w:ilvl w:val="0"/>
          <w:numId w:val="5"/>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color w:val="0d0d0d"/>
          <w:sz w:val="24"/>
          <w:szCs w:val="24"/>
          <w:rtl w:val="0"/>
        </w:rPr>
        <w:t xml:space="preserve">Nature du contrat : CDI</w:t>
      </w:r>
    </w:p>
    <w:p w:rsidR="00000000" w:rsidDel="00000000" w:rsidP="00000000" w:rsidRDefault="00000000" w:rsidRPr="00000000" w14:paraId="000001D0">
      <w:pPr>
        <w:pBdr>
          <w:top w:color="auto" w:space="0" w:sz="0" w:val="none"/>
          <w:bottom w:color="auto" w:space="0" w:sz="0" w:val="none"/>
          <w:right w:color="auto" w:space="0" w:sz="0" w:val="none"/>
          <w:between w:color="auto" w:space="0" w:sz="0" w:val="none"/>
        </w:pBdr>
        <w:shd w:fill="ffffff" w:val="clear"/>
        <w:spacing w:after="120" w:before="120" w:lineRule="auto"/>
        <w:ind w:right="-589.7244094488178"/>
        <w:rPr>
          <w:rFonts w:ascii="Times New Roman" w:cs="Times New Roman" w:eastAsia="Times New Roman" w:hAnsi="Times New Roman"/>
          <w:b w:val="1"/>
          <w:bCs w:val="1"/>
          <w:color w:val="0d0d0d"/>
          <w:sz w:val="24"/>
          <w:szCs w:val="24"/>
        </w:rPr>
      </w:pPr>
      <w:r w:rsidDel="00000000" w:rsidR="00000000" w:rsidRPr="00000000">
        <w:rPr>
          <w:rFonts w:ascii="Times New Roman" w:cs="Times New Roman" w:eastAsia="Times New Roman" w:hAnsi="Times New Roman"/>
          <w:b w:val="1"/>
          <w:bCs w:val="1"/>
          <w:color w:val="0d0d0d"/>
          <w:sz w:val="24"/>
          <w:szCs w:val="24"/>
          <w:rtl w:val="0"/>
        </w:rPr>
        <w:t xml:space="preserve">3. Mohamed Amir </w:t>
      </w:r>
    </w:p>
    <w:p w:rsidR="00000000" w:rsidDel="00000000" w:rsidP="00000000" w:rsidRDefault="00000000" w:rsidRPr="00000000" w14:paraId="000001D1">
      <w:pPr>
        <w:numPr>
          <w:ilvl w:val="0"/>
          <w:numId w:val="14"/>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Classification : Chef de service</w:t>
      </w:r>
    </w:p>
    <w:p w:rsidR="00000000" w:rsidDel="00000000" w:rsidP="00000000" w:rsidRDefault="00000000" w:rsidRPr="00000000" w14:paraId="000001D2">
      <w:pPr>
        <w:numPr>
          <w:ilvl w:val="0"/>
          <w:numId w:val="1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Fonction : Technicien de maintenance</w:t>
      </w:r>
    </w:p>
    <w:p w:rsidR="00000000" w:rsidDel="00000000" w:rsidP="00000000" w:rsidRDefault="00000000" w:rsidRPr="00000000" w14:paraId="000001D3">
      <w:pPr>
        <w:numPr>
          <w:ilvl w:val="0"/>
          <w:numId w:val="1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Rémunération : entre 2 200 € et 2 500 € brut/mois </w:t>
      </w:r>
    </w:p>
    <w:p w:rsidR="00000000" w:rsidDel="00000000" w:rsidP="00000000" w:rsidRDefault="00000000" w:rsidRPr="00000000" w14:paraId="000001D4">
      <w:pPr>
        <w:numPr>
          <w:ilvl w:val="0"/>
          <w:numId w:val="1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Cardo" w:cs="Cardo" w:eastAsia="Cardo" w:hAnsi="Cardo"/>
          <w:color w:val="0d0d0d"/>
          <w:sz w:val="24"/>
          <w:szCs w:val="24"/>
          <w:rtl w:val="0"/>
        </w:rPr>
        <w:t xml:space="preserve">Augmentations passées : évolution de carrière interne (ouvrier → Chef de service) </w:t>
      </w:r>
    </w:p>
    <w:p w:rsidR="00000000" w:rsidDel="00000000" w:rsidP="00000000" w:rsidRDefault="00000000" w:rsidRPr="00000000" w14:paraId="000001D5">
      <w:pPr>
        <w:numPr>
          <w:ilvl w:val="0"/>
          <w:numId w:val="1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Augmentations futures : évolution possible vers un poste de Responsable du Département </w:t>
      </w:r>
    </w:p>
    <w:p w:rsidR="00000000" w:rsidDel="00000000" w:rsidP="00000000" w:rsidRDefault="00000000" w:rsidRPr="00000000" w14:paraId="000001D6">
      <w:pPr>
        <w:numPr>
          <w:ilvl w:val="0"/>
          <w:numId w:val="14"/>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Ancienneté : environ 6 ans dans l’entreprise </w:t>
      </w:r>
    </w:p>
    <w:p w:rsidR="00000000" w:rsidDel="00000000" w:rsidP="00000000" w:rsidRDefault="00000000" w:rsidRPr="00000000" w14:paraId="000001D7">
      <w:pPr>
        <w:numPr>
          <w:ilvl w:val="0"/>
          <w:numId w:val="14"/>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Nature du contrat : CDI</w:t>
      </w:r>
    </w:p>
    <w:p w:rsidR="00000000" w:rsidDel="00000000" w:rsidP="00000000" w:rsidRDefault="00000000" w:rsidRPr="00000000" w14:paraId="000001D8">
      <w:pPr>
        <w:pBdr>
          <w:top w:color="auto" w:space="0" w:sz="0" w:val="none"/>
          <w:bottom w:color="auto" w:space="0" w:sz="0" w:val="none"/>
          <w:right w:color="auto" w:space="0" w:sz="0" w:val="none"/>
          <w:between w:color="auto" w:space="0" w:sz="0" w:val="none"/>
        </w:pBdr>
        <w:shd w:fill="ffffff" w:val="clear"/>
        <w:spacing w:after="120" w:before="120" w:lineRule="auto"/>
        <w:ind w:right="-589.7244094488178"/>
        <w:rPr>
          <w:rFonts w:ascii="Times New Roman" w:cs="Times New Roman" w:eastAsia="Times New Roman" w:hAnsi="Times New Roman"/>
          <w:color w:val="0d0d0d"/>
          <w:sz w:val="24"/>
          <w:szCs w:val="24"/>
        </w:rPr>
      </w:pPr>
      <w:r w:rsidDel="00000000" w:rsidR="00000000" w:rsidRPr="00000000">
        <w:rPr>
          <w:rtl w:val="0"/>
        </w:rPr>
      </w:r>
    </w:p>
    <w:p w:rsidR="00000000" w:rsidDel="00000000" w:rsidP="00000000" w:rsidRDefault="00000000" w:rsidRPr="00000000" w14:paraId="000001D9">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35.99999999999994" w:lineRule="auto"/>
        <w:ind w:right="-589.7244094488178"/>
        <w:rPr>
          <w:rFonts w:ascii="Times New Roman" w:cs="Times New Roman" w:eastAsia="Times New Roman" w:hAnsi="Times New Roman"/>
          <w:b w:val="1"/>
          <w:bCs w:val="1"/>
          <w:color w:val="0d0d0d"/>
          <w:sz w:val="24"/>
          <w:szCs w:val="24"/>
        </w:rPr>
      </w:pPr>
      <w:bookmarkStart w:colFirst="0" w:colLast="0" w:name="_1n86px3etjf9" w:id="53"/>
      <w:bookmarkEnd w:id="53"/>
      <w:r w:rsidDel="00000000" w:rsidR="00000000" w:rsidRPr="00000000">
        <w:rPr>
          <w:rFonts w:ascii="Times New Roman" w:cs="Times New Roman" w:eastAsia="Times New Roman" w:hAnsi="Times New Roman"/>
          <w:b w:val="1"/>
          <w:bCs w:val="1"/>
          <w:color w:val="0d0d0d"/>
          <w:sz w:val="24"/>
          <w:szCs w:val="24"/>
          <w:rtl w:val="0"/>
        </w:rPr>
        <w:t xml:space="preserve">Les salariés aux postes clés, organisation et management</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postes clés sont principalement occupés par la direction familiale, ce qui constitue une caractéristique importante de l’entreprise.</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rôle central est assuré par Dominique Daudruy, dirigeant de l’entreprise, qui intervient dans les décisions stratégiques, la gestion globale ainsi que dans les relations avec les partenaires externes (clients, fournisseurs).</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Ses enfants, Ameline Daudruy et Pierre-Louis Daudruy, occupent également des fonctions importantes en tant que co-gérants. Leur présence permet d’assurer une continuité dans la gestion de l’entreprise et une transmission progressive du savoir-faire.</w:t>
      </w:r>
    </w:p>
    <w:p w:rsidR="00000000" w:rsidDel="00000000" w:rsidP="00000000" w:rsidRDefault="00000000" w:rsidRPr="00000000" w14:paraId="000001DD">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35.99999999999994" w:lineRule="auto"/>
        <w:ind w:right="-589.7244094488178"/>
        <w:rPr>
          <w:rFonts w:ascii="Times New Roman" w:cs="Times New Roman" w:eastAsia="Times New Roman" w:hAnsi="Times New Roman"/>
          <w:b w:val="1"/>
          <w:bCs w:val="1"/>
          <w:color w:val="0d0d0d"/>
          <w:sz w:val="24"/>
          <w:szCs w:val="24"/>
        </w:rPr>
      </w:pPr>
      <w:bookmarkStart w:colFirst="0" w:colLast="0" w:name="_aslya8xy0a0g" w:id="54"/>
      <w:bookmarkEnd w:id="54"/>
      <w:r w:rsidDel="00000000" w:rsidR="00000000" w:rsidRPr="00000000">
        <w:rPr>
          <w:rFonts w:ascii="Times New Roman" w:cs="Times New Roman" w:eastAsia="Times New Roman" w:hAnsi="Times New Roman"/>
          <w:b w:val="1"/>
          <w:bCs w:val="1"/>
          <w:color w:val="0d0d0d"/>
          <w:sz w:val="24"/>
          <w:szCs w:val="24"/>
          <w:rtl w:val="0"/>
        </w:rPr>
        <w:t xml:space="preserve">Les délégations de pouvoir</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cette organisation, les responsabilités sont partagées entre le dirigeant et les co-gérants, ce qui permet une répartition des missions tout en conservant une direction centralisée. Cette structure favorise une gestion efficace et une prise de décision rapide.</w:t>
      </w:r>
    </w:p>
    <w:p w:rsidR="00000000" w:rsidDel="00000000" w:rsidP="00000000" w:rsidRDefault="00000000" w:rsidRPr="00000000" w14:paraId="000001DF">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35.99999999999994" w:lineRule="auto"/>
        <w:ind w:right="-589.7244094488178"/>
        <w:rPr>
          <w:rFonts w:ascii="Times New Roman" w:cs="Times New Roman" w:eastAsia="Times New Roman" w:hAnsi="Times New Roman"/>
          <w:b w:val="1"/>
          <w:bCs w:val="1"/>
          <w:color w:val="0d0d0d"/>
          <w:sz w:val="24"/>
          <w:szCs w:val="24"/>
        </w:rPr>
      </w:pPr>
      <w:bookmarkStart w:colFirst="0" w:colLast="0" w:name="_943egevanrcj" w:id="55"/>
      <w:bookmarkEnd w:id="55"/>
      <w:r w:rsidDel="00000000" w:rsidR="00000000" w:rsidRPr="00000000">
        <w:rPr>
          <w:rFonts w:ascii="Times New Roman" w:cs="Times New Roman" w:eastAsia="Times New Roman" w:hAnsi="Times New Roman"/>
          <w:b w:val="1"/>
          <w:bCs w:val="1"/>
          <w:color w:val="0d0d0d"/>
          <w:sz w:val="24"/>
          <w:szCs w:val="24"/>
          <w:rtl w:val="0"/>
        </w:rPr>
        <w:t xml:space="preserve">Le mode de management</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mode de management au sein de l’entreprise repose sur une logique familiale et impliquée. Cela se traduit par une forte présence de la direction, notamment du dirigeant, qui joue un rôle central dans les décisions et le pilotage de l’activité.</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Cette organisation favorise une proximité avec les salariés, avec des échanges directs et réguliers. La communication est généralement simple et rapide, ce qui permet de transmettre facilement les informations et de réagir efficacement en cas de problème.</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prise de décision est également assez rapide, notamment grâce à la structure familiale de l’entreprise, qui limite les niveaux hiérarchiques et les processus trop lourds. Cela constitue un avantage dans un environnement industriel où la réactivité est essentielle.</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D’après les observations réalisées sur le terrain et les échanges avec les salariés, ce mode de management contribue à créer un climat de travail relativement stable, avec une bonne connaissance des équipes et une certaine confiance entre la direction et les employés.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 fonctionnement représente un point positif, car il favorise la réactivité et la cohésion. Cependant, il implique aussi une forte dépendance au dirigeant actuel, ce qui devra être anticipé dans le cadre de la reprise.</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tl w:val="0"/>
        </w:rPr>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tl w:val="0"/>
        </w:rPr>
      </w:r>
    </w:p>
    <w:p w:rsidR="00000000" w:rsidDel="00000000" w:rsidP="00000000" w:rsidRDefault="00000000" w:rsidRPr="00000000" w14:paraId="000001E7">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35.99999999999994" w:lineRule="auto"/>
        <w:ind w:right="-589.7244094488178"/>
        <w:rPr>
          <w:rFonts w:ascii="Times New Roman" w:cs="Times New Roman" w:eastAsia="Times New Roman" w:hAnsi="Times New Roman"/>
          <w:b w:val="1"/>
          <w:bCs w:val="1"/>
          <w:color w:val="0d0d0d"/>
          <w:sz w:val="24"/>
          <w:szCs w:val="24"/>
        </w:rPr>
      </w:pPr>
      <w:bookmarkStart w:colFirst="0" w:colLast="0" w:name="_7pkrtc1pny8x" w:id="56"/>
      <w:bookmarkEnd w:id="56"/>
      <w:r w:rsidDel="00000000" w:rsidR="00000000" w:rsidRPr="00000000">
        <w:rPr>
          <w:rFonts w:ascii="Times New Roman" w:cs="Times New Roman" w:eastAsia="Times New Roman" w:hAnsi="Times New Roman"/>
          <w:b w:val="1"/>
          <w:bCs w:val="1"/>
          <w:color w:val="0d0d0d"/>
          <w:sz w:val="24"/>
          <w:szCs w:val="24"/>
          <w:rtl w:val="0"/>
        </w:rPr>
        <w:t xml:space="preserve">Les liens de parenté</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présente un fort ancrage familial, avec la présence du dirigeant et de ses enfants à des postes de direction.</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Cela représente :</w:t>
      </w:r>
    </w:p>
    <w:p w:rsidR="00000000" w:rsidDel="00000000" w:rsidP="00000000" w:rsidRDefault="00000000" w:rsidRPr="00000000" w14:paraId="000001EA">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un avantage : stabilité, cohérence des décisions, vision à long terme</w:t>
      </w:r>
    </w:p>
    <w:p w:rsidR="00000000" w:rsidDel="00000000" w:rsidP="00000000" w:rsidRDefault="00000000" w:rsidRPr="00000000" w14:paraId="000001EB">
      <w:pPr>
        <w:numPr>
          <w:ilvl w:val="0"/>
          <w:numId w:val="3"/>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mais aussi un risque : dépendance à la famille dirigeante, notamment en cas de départ ou de reprise</w:t>
      </w:r>
    </w:p>
    <w:p w:rsidR="00000000" w:rsidDel="00000000" w:rsidP="00000000" w:rsidRDefault="00000000" w:rsidRPr="00000000" w14:paraId="000001EC">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color w:val="0d0d0d"/>
          <w:sz w:val="24"/>
          <w:szCs w:val="24"/>
        </w:rPr>
      </w:pPr>
      <w:bookmarkStart w:colFirst="0" w:colLast="0" w:name="_dobqv2d0l7s2" w:id="57"/>
      <w:bookmarkEnd w:id="57"/>
      <w:r w:rsidDel="00000000" w:rsidR="00000000" w:rsidRPr="00000000">
        <w:rPr>
          <w:rFonts w:ascii="Times New Roman" w:cs="Times New Roman" w:eastAsia="Times New Roman" w:hAnsi="Times New Roman"/>
          <w:b w:val="1"/>
          <w:bCs w:val="1"/>
          <w:color w:val="0d0d0d"/>
          <w:sz w:val="24"/>
          <w:szCs w:val="24"/>
          <w:rtl w:val="0"/>
        </w:rPr>
        <w:t xml:space="preserve">Le temps de travail et la conformité à la réglementation</w:t>
      </w:r>
      <w:r w:rsidDel="00000000" w:rsidR="00000000" w:rsidRPr="00000000">
        <w:rPr>
          <w:rtl w:val="0"/>
        </w:rPr>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L’organisation du temps de travail respecte la réglementation en vigueur, notamment la durée légale fixée à 35 heures hebdomadaires.</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temps de travail est adapté aux contraintes de production de l’entreprise, avec la mise en place d’horaires en équipes afin d’assurer la continuité de l’activité. L’entreprise peut également recourir à des RTT pour compenser les heures effectuées au-delà de la durée légale.</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les salariés cadres, des conventions de forfait jours peuvent être mises en place, permettant une organisation plus souple du temps de travail en fonction des responsabilités exercées.</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gestion du temps de travail repose sur des outils de suivi (planning, pointage, gestion des absences), garantissant le respect des durées de travail et des temps de repos</w:t>
      </w:r>
    </w:p>
    <w:p w:rsidR="00000000" w:rsidDel="00000000" w:rsidP="00000000" w:rsidRDefault="00000000" w:rsidRPr="00000000" w14:paraId="000001F1">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wkqjclk46sh9" w:id="58"/>
      <w:bookmarkEnd w:id="58"/>
      <w:r w:rsidDel="00000000" w:rsidR="00000000" w:rsidRPr="00000000">
        <w:rPr>
          <w:rFonts w:ascii="Times New Roman" w:cs="Times New Roman" w:eastAsia="Times New Roman" w:hAnsi="Times New Roman"/>
          <w:b w:val="1"/>
          <w:bCs w:val="1"/>
          <w:color w:val="0d0d0d"/>
          <w:sz w:val="24"/>
          <w:szCs w:val="24"/>
          <w:rtl w:val="0"/>
        </w:rPr>
        <w:t xml:space="preserve">Le CHSCT : hygiène, sécurité et réglementation</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questions liées à l’hygiène, à la sécurité et aux conditions de travail sont prises en charge par le Comité Social et Économique (CSE), qui a remplacé le CHSCT. Cet organe joue un rôle essentiel dans une entreprise industrielle comme celle-ci.</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effet, l’activité de l’entreprise présente plusieurs risques professionnels, notamment en raison de l’utilisation de machines industrielles, de la manipulation de matières premières (huiles, graisses) et du fonctionnement continu de l’usine. Dans ce contexte, la sécurité des salariés est un enjeu majeur.</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 CSE intervient donc principalement dans la prévention des risques professionnels, en veillant au respect des règles de sécurité, à l’amélioration des conditions de travail et au suivi des éventuels accidents. Il peut également proposer des actions d’amélioration ou alerter la direction en cas de problème.</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doit aussi respecter une réglementation stricte en matière de sécurité. Cela inclut la formation des salariés aux risques liés à leur poste, la mise à disposition d’équipements de protection individuelle (comme les casques, gants ou vêtements adaptés) et le respect des normes de sécurité sur le site industriel.</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D’après les observations réalisées sur le terrain, ces règles semblent bien intégrées dans le fonctionnement de l’entreprise, ce qui est essentiel dans un environnement industriel à risques.</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cela constitue un point important, car le respect des normes de sécurité est indispensable, à la fois pour protéger les salariés, éviter les accidents et limiter les risques juridiques ou financiers.</w:t>
      </w:r>
    </w:p>
    <w:p w:rsidR="00000000" w:rsidDel="00000000" w:rsidP="00000000" w:rsidRDefault="00000000" w:rsidRPr="00000000" w14:paraId="000001F8">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qvmjaq6logem" w:id="59"/>
      <w:bookmarkEnd w:id="59"/>
      <w:r w:rsidDel="00000000" w:rsidR="00000000" w:rsidRPr="00000000">
        <w:rPr>
          <w:rFonts w:ascii="Times New Roman" w:cs="Times New Roman" w:eastAsia="Times New Roman" w:hAnsi="Times New Roman"/>
          <w:b w:val="1"/>
          <w:bCs w:val="1"/>
          <w:color w:val="0d0d0d"/>
          <w:sz w:val="24"/>
          <w:szCs w:val="24"/>
          <w:rtl w:val="0"/>
        </w:rPr>
        <w:t xml:space="preserve">Les dispositifs de participation, d’intéressement et avantages sociaux</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Plusieurs dispositifs sont mis en place afin d’associer les salariés aux performances de l’entreprise et de renforcer leur engagement.</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propose un système de participation et d’intéressement, permettant aux salariés de bénéficier de primes liées aux résultats. Ces dispositifs contribuent à motiver les équipes et à les impliquer dans la performance globale de l’entreprise.</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Un plan d’épargne entreprise (PEE) est également mis en place, offrant aux salariés la possibilité de se constituer une épargne dans des conditions avantageuses. En complément, des dispositifs de retraite supplémentaire ainsi que des indemnités de fin de carrière sont prévus, ce qui représente un engagement social important de la part de l’entreprise.</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Par ailleurs, les salariés bénéficient de plusieurs avantages sociaux, tels que :</w:t>
      </w:r>
    </w:p>
    <w:p w:rsidR="00000000" w:rsidDel="00000000" w:rsidP="00000000" w:rsidRDefault="00000000" w:rsidRPr="00000000" w14:paraId="000001FD">
      <w:pPr>
        <w:numPr>
          <w:ilvl w:val="0"/>
          <w:numId w:val="6"/>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une mutuelle d’entreprise,</w:t>
      </w:r>
    </w:p>
    <w:p w:rsidR="00000000" w:rsidDel="00000000" w:rsidP="00000000" w:rsidRDefault="00000000" w:rsidRPr="00000000" w14:paraId="000001FE">
      <w:pPr>
        <w:numPr>
          <w:ilvl w:val="0"/>
          <w:numId w:val="6"/>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un contrat de prévoyance,</w:t>
      </w:r>
    </w:p>
    <w:p w:rsidR="00000000" w:rsidDel="00000000" w:rsidP="00000000" w:rsidRDefault="00000000" w:rsidRPr="00000000" w14:paraId="000001FF">
      <w:pPr>
        <w:numPr>
          <w:ilvl w:val="0"/>
          <w:numId w:val="6"/>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des tickets-restaurant,</w:t>
      </w:r>
    </w:p>
    <w:p w:rsidR="00000000" w:rsidDel="00000000" w:rsidP="00000000" w:rsidRDefault="00000000" w:rsidRPr="00000000" w14:paraId="00000200">
      <w:pPr>
        <w:numPr>
          <w:ilvl w:val="0"/>
          <w:numId w:val="6"/>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ainsi que la prise en charge partielle des frais de transport.</w:t>
      </w:r>
    </w:p>
    <w:p w:rsidR="00000000" w:rsidDel="00000000" w:rsidP="00000000" w:rsidRDefault="00000000" w:rsidRPr="00000000" w14:paraId="00000201">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tzr188yddtw7" w:id="60"/>
      <w:bookmarkEnd w:id="60"/>
      <w:r w:rsidDel="00000000" w:rsidR="00000000" w:rsidRPr="00000000">
        <w:rPr>
          <w:rFonts w:ascii="Times New Roman" w:cs="Times New Roman" w:eastAsia="Times New Roman" w:hAnsi="Times New Roman"/>
          <w:b w:val="1"/>
          <w:bCs w:val="1"/>
          <w:color w:val="0d0d0d"/>
          <w:sz w:val="24"/>
          <w:szCs w:val="24"/>
          <w:rtl w:val="0"/>
        </w:rPr>
        <w:t xml:space="preserve">Répartition des avantages et des prêts selon les salariés</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avantages et les aides financières accordés aux salariés varient en fonction de leur poste et de leur niveau de responsabilité.</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salariés opérationnels (production, logistique, maintenance) bénéficient principalement des avantages sociaux classiques, tels que la mutuelle, la prévoyance, les tickets-restaurant ainsi que la prise en charge partielle des frais de transport. Ils peuvent également percevoir des primes liées à la performance et, dans certains cas, bénéficier de prêts ponctuels pour faire face à des situations personnelles.</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salariés des fonctions support (RH, comptabilité, administratif) disposent des mêmes avantages, avec en complément des primes individuelles. Ils peuvent également avoir accès à des aides financières internes, notamment en fonction de leur ancienneté.</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cadres bénéficient d’avantages plus étendus, comme des primes plus importantes, un accès au plan d’épargne entreprise (PEE) et des dispositifs de retraite supplémentaire. Ils peuvent également obtenir des facilités financières plus importantes, avec des conditions plus avantageuses.</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les dirigeants et co-gérants (Dominique Daudruy, Ameline Daudruy et Pierre-Louis Daudruy) disposent d’avantages spécifiques, tels que des rémunérations plus élevées, des avantages en nature et des dispositifs particuliers en matière de retraite. Ils peuvent également bénéficier de conditions financières spécifiques, notamment sous forme d’avances ou de montages adaptés à leur fonction.</w:t>
      </w:r>
    </w:p>
    <w:p w:rsidR="00000000" w:rsidDel="00000000" w:rsidP="00000000" w:rsidRDefault="00000000" w:rsidRPr="00000000" w14:paraId="00000207">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r757zegdbc4z" w:id="61"/>
      <w:bookmarkEnd w:id="61"/>
      <w:r w:rsidDel="00000000" w:rsidR="00000000" w:rsidRPr="00000000">
        <w:rPr>
          <w:rFonts w:ascii="Times New Roman" w:cs="Times New Roman" w:eastAsia="Times New Roman" w:hAnsi="Times New Roman"/>
          <w:b w:val="1"/>
          <w:bCs w:val="1"/>
          <w:color w:val="0d0d0d"/>
          <w:sz w:val="24"/>
          <w:szCs w:val="24"/>
          <w:rtl w:val="0"/>
        </w:rPr>
        <w:t xml:space="preserve">Les contrôles sociaux et éventuels redressements</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est soumise à des contrôles sociaux, notamment de la part des organismes comme l’URSSAF, afin de vérifier le respect de la réglementation en matière de cotisations sociales, de paie et de droit du travail.</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Les derniers contrôles réalisés n’ont pas mis en évidence de dysfonctionnements majeurs, ce qui traduit une gestion conforme des obligations sociales par l’entreprise. Aucune notification de redressement significatif nous a été relevée d’après les RH, ce qui constitue un élément rassurant.</w:t>
      </w:r>
    </w:p>
    <w:p w:rsidR="00000000" w:rsidDel="00000000" w:rsidP="00000000" w:rsidRDefault="00000000" w:rsidRPr="00000000" w14:paraId="0000020A">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60" w:before="0" w:line="373.3344" w:lineRule="auto"/>
        <w:ind w:right="-589.7244094488178"/>
        <w:rPr>
          <w:rFonts w:ascii="Times New Roman" w:cs="Times New Roman" w:eastAsia="Times New Roman" w:hAnsi="Times New Roman"/>
          <w:b w:val="1"/>
          <w:bCs w:val="1"/>
          <w:color w:val="0d0d0d"/>
          <w:sz w:val="24"/>
          <w:szCs w:val="24"/>
        </w:rPr>
      </w:pPr>
      <w:bookmarkStart w:colFirst="0" w:colLast="0" w:name="_p0ljsnsc4m07" w:id="62"/>
      <w:bookmarkEnd w:id="62"/>
      <w:r w:rsidDel="00000000" w:rsidR="00000000" w:rsidRPr="00000000">
        <w:rPr>
          <w:rFonts w:ascii="Times New Roman" w:cs="Times New Roman" w:eastAsia="Times New Roman" w:hAnsi="Times New Roman"/>
          <w:b w:val="1"/>
          <w:bCs w:val="1"/>
          <w:color w:val="0d0d0d"/>
          <w:sz w:val="24"/>
          <w:szCs w:val="24"/>
          <w:rtl w:val="0"/>
        </w:rPr>
        <w:t xml:space="preserve">La formation du personnel</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formation du personnel constitue un élément important pour garantir le bon fonctionnement de l’activité et l’adaptation des salariés à leur poste.</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met en place des actions de formation, notamment pour :</w:t>
      </w:r>
    </w:p>
    <w:p w:rsidR="00000000" w:rsidDel="00000000" w:rsidP="00000000" w:rsidRDefault="00000000" w:rsidRPr="00000000" w14:paraId="0000020D">
      <w:pPr>
        <w:numPr>
          <w:ilvl w:val="0"/>
          <w:numId w:val="8"/>
        </w:numPr>
        <w:pBdr>
          <w:top w:color="auto" w:space="0" w:sz="0" w:val="none"/>
          <w:bottom w:color="auto" w:space="0" w:sz="0" w:val="none"/>
          <w:right w:color="auto" w:space="0" w:sz="0" w:val="none"/>
          <w:between w:color="auto" w:space="0" w:sz="0" w:val="none"/>
        </w:pBdr>
        <w:shd w:fill="ffffff" w:val="clear"/>
        <w:spacing w:after="0" w:afterAutospacing="0" w:before="12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développer les compétences techniques des salariés,</w:t>
      </w:r>
    </w:p>
    <w:p w:rsidR="00000000" w:rsidDel="00000000" w:rsidP="00000000" w:rsidRDefault="00000000" w:rsidRPr="00000000" w14:paraId="0000020E">
      <w:pPr>
        <w:numPr>
          <w:ilvl w:val="0"/>
          <w:numId w:val="8"/>
        </w:numPr>
        <w:pBdr>
          <w:top w:color="auto" w:space="0" w:sz="0" w:val="none"/>
          <w:bottom w:color="auto" w:space="0" w:sz="0" w:val="none"/>
          <w:right w:color="auto" w:space="0" w:sz="0" w:val="none"/>
          <w:between w:color="auto" w:space="0" w:sz="0" w:val="none"/>
        </w:pBdr>
        <w:shd w:fill="ffffff" w:val="clear"/>
        <w:spacing w:after="0" w:afterAutospacing="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assurer la mise à jour des connaissances,</w:t>
      </w:r>
    </w:p>
    <w:p w:rsidR="00000000" w:rsidDel="00000000" w:rsidP="00000000" w:rsidRDefault="00000000" w:rsidRPr="00000000" w14:paraId="0000020F">
      <w:pPr>
        <w:numPr>
          <w:ilvl w:val="0"/>
          <w:numId w:val="8"/>
        </w:numPr>
        <w:pBdr>
          <w:top w:color="auto" w:space="0" w:sz="0" w:val="none"/>
          <w:bottom w:color="auto" w:space="0" w:sz="0" w:val="none"/>
          <w:right w:color="auto" w:space="0" w:sz="0" w:val="none"/>
          <w:between w:color="auto" w:space="0" w:sz="0" w:val="none"/>
        </w:pBdr>
        <w:shd w:fill="ffffff" w:val="clear"/>
        <w:spacing w:after="120" w:before="0" w:beforeAutospacing="0" w:lineRule="auto"/>
        <w:ind w:left="720" w:right="-589.7244094488178"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d0d0d"/>
          <w:sz w:val="24"/>
          <w:szCs w:val="24"/>
          <w:rtl w:val="0"/>
        </w:rPr>
        <w:t xml:space="preserve">et garantir le respect des règles de sécurité, essentielles dans une activité industrielle.</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Ces formations peuvent concerner aussi bien les salariés opérationnels (production, maintenance) que les fonctions support, afin de maintenir un niveau de compétence adapté aux besoins de l’entreprise.</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color w:val="0d0d0d"/>
          <w:sz w:val="24"/>
          <w:szCs w:val="24"/>
          <w:rtl w:val="0"/>
        </w:rPr>
        <w:t xml:space="preserve">Par ailleurs, la formation permet également de favoriser l’évolution professionnelle des salariés et leur adaptation aux évolutions de l’activité.</w:t>
      </w:r>
      <w:r w:rsidDel="00000000" w:rsidR="00000000" w:rsidRPr="00000000">
        <w:rPr>
          <w:rtl w:val="0"/>
        </w:rPr>
      </w:r>
    </w:p>
    <w:p w:rsidR="00000000" w:rsidDel="00000000" w:rsidP="00000000" w:rsidRDefault="00000000" w:rsidRPr="00000000" w14:paraId="00000212">
      <w:pPr>
        <w:spacing w:after="240" w:before="240" w:lineRule="auto"/>
        <w:ind w:right="-589.7244094488178"/>
        <w:rPr>
          <w:rFonts w:ascii="Times New Roman" w:cs="Times New Roman" w:eastAsia="Times New Roman" w:hAnsi="Times New Roman"/>
          <w:b w:val="1"/>
          <w:bCs w:val="1"/>
          <w:color w:val="38761d"/>
          <w:sz w:val="24"/>
          <w:szCs w:val="24"/>
        </w:rPr>
      </w:pPr>
      <w:r w:rsidDel="00000000" w:rsidR="00000000" w:rsidRPr="00000000">
        <w:rPr>
          <w:rFonts w:ascii="Times New Roman" w:cs="Times New Roman" w:eastAsia="Times New Roman" w:hAnsi="Times New Roman"/>
          <w:b w:val="1"/>
          <w:bCs w:val="1"/>
          <w:color w:val="38761d"/>
          <w:sz w:val="24"/>
          <w:szCs w:val="24"/>
          <w:rtl w:val="0"/>
        </w:rPr>
        <w:t xml:space="preserve">VIII- Le diagnostic Responsabilité Sociétale des Entreprises (RSE)</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de notre diagnostic RSE, nous avons compris que, pour une entreprise industrielle comme Daudruy Van Cauwenberghe, la priorité repose d’abord sur le respect strict des obligations réglementaires avant même les engagements environnementaux.</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sécurité du personnel est un enjeu central dans l’entreprise. L’activité industrielle expose les salariés à plusieurs risques, notamment liés aux machines, aux températures élevées et aux produits manipulés. Pour cela, l’entreprise s’appuie sur le DUERP (Document Unique d’Évaluation des Risques Professionnels), qui recense les dangers présents sur le site. Sur le terrain, le port des équipements de protection individuelle (casques, chaussures de sécurité, lunettes) est systématique. Cette organisation montre que la sécurité est bien intégrée dans le fonctionnement quotidien.</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Concernant l’environnement, l’entreprise est classée ICPE (Installation Classée pour la Protection de l’Environnement), ce qui implique un encadrement strict par la préfecture. Concrètement, cela se traduit par la mise en place de systèmes pour limiter les nuisances, comme le filtrage des émissions dans l’air ou le traitement des eaux industrielles avant leur rejet. Étant implantée à Dunkerque, cette gestion est essentielle pour limiter l’impact sur les riverains, notamment en termes d’odeurs ou de rejets.</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L’utilisation de produits chimiques, comme le méthanol dans la production de biocarburants, est également très encadrée. L’entreprise applique la réglementation européenne REACH, ce qui se traduit notamment par des dispositifs de sécurité comme les bacs de rétention. Ces installations permettent de contenir les produits en cas de fuite et d’éviter toute pollution des sols ou de l’eau.</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L’activité liée à l’alimentaire implique aussi des exigences élevées en matière d’hygiène. L’entreprise respecte le « Paquet Hygiène » et dispose de la certification FSSC 22000, ce qui garantit un haut niveau de contrôle sanitaire. Cela est indispensable pour répondre aux attentes des clients industriels du secteur agroalimentaire.</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La formation des salariés est également bien intégrée dans l’organisation. Les opérateurs qui manipulent des équipements ou des produits sensibles disposent d’habilitations spécifiques. Ces formations permettent de limiter les risques et d’assurer un fonctionnement sécurisé de l’activité.</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Enfin, les espaces administratifs sont adaptés pour respecter les règles d’accessibilité, notamment pour les personnes à mobilité réduite, avec des aménagements comme des accès facilités ou des places de stationnement dédiées.</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en tant que repreneurs, cela montre que l’entreprise fonctionne déjà avec un bon niveau d’exigence réglementaire. Ce cadre peut paraître contraignant, mais il constitue surtout un gage de sérieux et de sécurité. Il sera donc essentiel de maintenir ces pratiques pour éviter des risques juridiques, humains ou environnementaux.</w:t>
      </w:r>
    </w:p>
    <w:p w:rsidR="00000000" w:rsidDel="00000000" w:rsidP="00000000" w:rsidRDefault="00000000" w:rsidRPr="00000000" w14:paraId="0000021B">
      <w:pPr>
        <w:spacing w:after="240" w:before="240" w:lineRule="auto"/>
        <w:ind w:right="-589.724409448817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C">
      <w:pPr>
        <w:spacing w:after="240" w:before="240" w:lineRule="auto"/>
        <w:ind w:right="-589.7244094488178"/>
        <w:rPr>
          <w:rFonts w:ascii="Times New Roman" w:cs="Times New Roman" w:eastAsia="Times New Roman" w:hAnsi="Times New Roman"/>
          <w:b w:val="1"/>
          <w:bCs w:val="1"/>
          <w:color w:val="38761d"/>
          <w:sz w:val="24"/>
          <w:szCs w:val="24"/>
          <w:u w:val="single"/>
        </w:rPr>
      </w:pPr>
      <w:r w:rsidDel="00000000" w:rsidR="00000000" w:rsidRPr="00000000">
        <w:rPr>
          <w:rFonts w:ascii="Times New Roman" w:cs="Times New Roman" w:eastAsia="Times New Roman" w:hAnsi="Times New Roman"/>
          <w:b w:val="1"/>
          <w:bCs w:val="1"/>
          <w:color w:val="38761d"/>
          <w:sz w:val="24"/>
          <w:szCs w:val="24"/>
          <w:u w:val="single"/>
          <w:rtl w:val="0"/>
        </w:rPr>
        <w:t xml:space="preserve">IX- L’analyse des diagnostics au service du projet entrepreneurial</w:t>
      </w:r>
    </w:p>
    <w:p w:rsidR="00000000" w:rsidDel="00000000" w:rsidP="00000000" w:rsidRDefault="00000000" w:rsidRPr="00000000" w14:paraId="0000021D">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highlight w:val="white"/>
          <w:rtl w:val="0"/>
        </w:rPr>
        <w:t xml:space="preserve">Dans le cadre de notre projet de reprise de Daudruy Van Cauwenberghe, nous avons évalué le prix de l’entreprise en nous appuyant sur les méthodes présentées en annexe. En effet, la valorisation d’une entreprise ne repose pas sur un seul calcul, mais sur une analyse croisée de différents indicateurs, ce qui permet d’obtenir une estimation la plus réaliste possible.</w:t>
      </w:r>
      <w:r w:rsidDel="00000000" w:rsidR="00000000" w:rsidRPr="00000000">
        <w:rPr>
          <w:rtl w:val="0"/>
        </w:rPr>
      </w:r>
    </w:p>
    <w:p w:rsidR="00000000" w:rsidDel="00000000" w:rsidP="00000000" w:rsidRDefault="00000000" w:rsidRPr="00000000" w14:paraId="0000021E">
      <w:pPr>
        <w:spacing w:after="240" w:before="240" w:lineRule="auto"/>
        <w:ind w:left="360"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A.      Les méthodes dites patrimoniales (Ce que possède l'entreprise) :</w:t>
      </w:r>
    </w:p>
    <w:p w:rsidR="00000000" w:rsidDel="00000000" w:rsidP="00000000" w:rsidRDefault="00000000" w:rsidRPr="00000000" w14:paraId="0000021F">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highlight w:val="white"/>
          <w:rtl w:val="0"/>
        </w:rPr>
        <w:t xml:space="preserve">Dans un premier temps, nous avons utilisé une approche patrimoniale, qui consiste à évaluer l’entreprise en fonction de ce qu’elle possède réellement. Cela correspond à l’Actif Net Comptable, c’est-à-dire aux capitaux propres. D’après notre analyse, ceux-ci s’élèvent à 43 509 182 €. Pour une entreprise industrielle comme Daudruy, qui dispose d’un site important d’environ 22 hectares à Dunkerque et d’équipements industriels lourds, cette méthode est particulièrement pertinente. Ce montant représente donc pour nous une base minimale de valorisation, en dessous de laquelle les vendeurs n’auraient aucun intérêt à céder l’entreprise.</w:t>
      </w:r>
      <w:r w:rsidDel="00000000" w:rsidR="00000000" w:rsidRPr="00000000">
        <w:rPr>
          <w:rtl w:val="0"/>
        </w:rPr>
      </w:r>
    </w:p>
    <w:p w:rsidR="00000000" w:rsidDel="00000000" w:rsidP="00000000" w:rsidRDefault="00000000" w:rsidRPr="00000000" w14:paraId="00000220">
      <w:pPr>
        <w:spacing w:after="240" w:before="240" w:lineRule="auto"/>
        <w:ind w:left="360"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B.      Les méthodes dites de rendement (Ce que gagne l'entreprise) :</w:t>
      </w:r>
    </w:p>
    <w:p w:rsidR="00000000" w:rsidDel="00000000" w:rsidP="00000000" w:rsidRDefault="00000000" w:rsidRPr="00000000" w14:paraId="00000221">
      <w:pP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Ensuite, nous avons analysé la rentabilité de l’entreprise, puisque c’est un élément central pour un repreneur. Le résultat net comptable s’élève à 7 026 077 €, mais il est impacté par des éléments exceptionnels négatifs d’environ -4 810 099 €. Afin d’avoir une vision plus réaliste, nous avons donc retraité ce résultat pour obtenir un bénéfice “normalisé”, soit : 7 026 077 € + 4 810 099 € = 11 836 176 €</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En appliquant un coefficient de 7, cohérent avec une entreprise industrielle rentable dans un secteur porteur, nous obtenons alors la valorisation suivante : 11 836 176 € × 7 = 82 853 232 €, soit environ 82,8 millions d’euros.</w:t>
      </w:r>
      <w:r w:rsidDel="00000000" w:rsidR="00000000" w:rsidRPr="00000000">
        <w:rPr>
          <w:rtl w:val="0"/>
        </w:rPr>
      </w:r>
    </w:p>
    <w:p w:rsidR="00000000" w:rsidDel="00000000" w:rsidP="00000000" w:rsidRDefault="00000000" w:rsidRPr="00000000" w14:paraId="00000223">
      <w:pPr>
        <w:spacing w:after="240" w:before="240" w:lineRule="auto"/>
        <w:ind w:left="360"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C.     Les méthodes dites comparatives (Le prix du marché) :</w:t>
      </w:r>
    </w:p>
    <w:p w:rsidR="00000000" w:rsidDel="00000000" w:rsidP="00000000" w:rsidRDefault="00000000" w:rsidRPr="00000000" w14:paraId="00000224">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highlight w:val="white"/>
          <w:rtl w:val="0"/>
        </w:rPr>
        <w:t xml:space="preserve">Par ailleurs, nous avons utilisé une méthode comparative basée sur l’EBE (Excédent Brut d’Exploitation), qui mesure la performance économique réelle de l’entreprise avant les charges financières et fiscales. L’EBE s’élève à 18 528 779 €. En appliquant également un multiple de 7, cela conduit à une valorisation plus élevée, d’environ 129,7 millions d’euros, ce qui reflète la bonne performance opérationnelle de l’entreprise.</w:t>
      </w:r>
      <w:r w:rsidDel="00000000" w:rsidR="00000000" w:rsidRPr="00000000">
        <w:rPr>
          <w:rtl w:val="0"/>
        </w:rPr>
      </w:r>
    </w:p>
    <w:p w:rsidR="00000000" w:rsidDel="00000000" w:rsidP="00000000" w:rsidRDefault="00000000" w:rsidRPr="00000000" w14:paraId="00000225">
      <w:pP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appliquant un multiple de marché de 7 : 18 528 779 € x 7 = 129 701 453 €.</w:t>
      </w:r>
    </w:p>
    <w:p w:rsidR="00000000" w:rsidDel="00000000" w:rsidP="00000000" w:rsidRDefault="00000000" w:rsidRPr="00000000" w14:paraId="00000226">
      <w:pPr>
        <w:spacing w:after="240" w:before="240" w:lineRule="auto"/>
        <w:ind w:left="360"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D.     La fixation du prix et la capacité de remboursement</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de notre projet de reprise de Daudruy Van Cauwenberghe, il est essentiel de vérifier que le prix envisagé reste cohérent avec la capacité de l’entreprise à rembourser la dette liée à son acquisition. En effet, une entreprise ne doit pas être mise en difficulté par son propre rachat.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cela, nous nous sommes appuyés sur la Capacité d’Autofinancement (CAF), qui correspond aux ressources financières générées par l’activité et disponibles pour investir ou rembourser des dettes. Pour l’année N, cette CAF s’élève à 14 173 041 €.</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une logique prudente, il est recommandé de ne pas consacrer plus de 70 % de cette capacité au remboursement de la dette, afin de conserver une marge de sécurité pour les investissements et le fonctionnement de l’entreprise. Cela représente donc :</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14 173 041 € × 70 % = 9 921 128 € disponibles chaque année pour rembourser l’emprunt.</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considérant une durée de financement classique de 7 ans, on obtient une capacité d’emprunt totale estimée à :</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9 921 128 € × 7 = 69 447 901 €, soit environ 69,4 millions d’euros.</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À cette capacité d’emprunt s’ajoute la trésorerie disponible de l’entreprise, qui s’élève à 14 529 414 €. Cette trésorerie peut être mobilisée dans le cadre du rachat, ce qui permet d’augmenter la capacité de financement globale :</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69 447 901 € + 14 529 414 € = 83 977 315 €, soit environ 84 millions d’euros.</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 montant correspond donc à une base de valorisation réaliste pour notre projet, auquel pourra éventuellement s’ajouter un apport personnel de notre part.</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Cette analyse est essentielle, car elle montre que l’entreprise est capable de générer suffisamment de flux pour rembourser la dette liée à son rachat, sans compromettre son activité. Pour nous, en tant que repreneurs, cela confirme la faisabilité financière du projet et permet de sécuriser la décision de reprise.</w:t>
      </w:r>
      <w:r w:rsidDel="00000000" w:rsidR="00000000" w:rsidRPr="00000000">
        <w:rPr>
          <w:rtl w:val="0"/>
        </w:rPr>
      </w:r>
    </w:p>
    <w:p w:rsidR="00000000" w:rsidDel="00000000" w:rsidP="00000000" w:rsidRDefault="00000000" w:rsidRPr="00000000" w14:paraId="00000231">
      <w:pPr>
        <w:spacing w:after="240" w:before="240" w:lineRule="auto"/>
        <w:ind w:left="360" w:right="-589.7244094488178"/>
        <w:rPr>
          <w:rFonts w:ascii="Times New Roman" w:cs="Times New Roman" w:eastAsia="Times New Roman" w:hAnsi="Times New Roman"/>
          <w:b w:val="1"/>
          <w:bCs w:val="1"/>
          <w:color w:val="0000ff"/>
          <w:sz w:val="24"/>
          <w:szCs w:val="24"/>
        </w:rPr>
      </w:pPr>
      <w:r w:rsidDel="00000000" w:rsidR="00000000" w:rsidRPr="00000000">
        <w:rPr>
          <w:rFonts w:ascii="Times New Roman" w:cs="Times New Roman" w:eastAsia="Times New Roman" w:hAnsi="Times New Roman"/>
          <w:b w:val="1"/>
          <w:bCs w:val="1"/>
          <w:color w:val="0000ff"/>
          <w:sz w:val="24"/>
          <w:szCs w:val="24"/>
          <w:rtl w:val="0"/>
        </w:rPr>
        <w:t xml:space="preserve">E.       La stratégie de négociation et la fixation du prix définitif</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de notre projet de reprise de Daudruy Van Cauwenberghe, la fixation du prix final ne repose pas uniquement sur les méthodes de valorisation, mais aussi sur la négociation entre le cédant et le repreneur.</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En pratique, il existe généralement un écart entre le prix demandé par le vendeur et la première offre proposée par le repreneur. Dans notre cas, le cédant pourrait s’appuyer sur les bonnes performances de l’entreprise, notamment son EBE élevé, pour justifier un prix autour de 100 millions d’euros.</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De notre côté, en tenant compte de notre capacité de financement estimée à environ 84 millions d’euros, il serait plus prudent de formuler une première offre inférieure. Une proposition initiale autour de 70 millions d’euros semble cohérente, ce qui correspond à un écart d’environ 30 % avec le prix demandé.</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Dans le cadre des négociations, il est courant que chaque partie fasse un effort. Si le vendeur accepte de réduire ses exigences et que nous acceptons d’augmenter notre offre, un compromis peut être trouvé. En appliquant un ajustement d’environ 15 % de chaque côté, le prix d’équilibre se situe logiquement autour de 84 à 85 millions d’euros.</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d0d0d"/>
          <w:sz w:val="24"/>
          <w:szCs w:val="24"/>
          <w:rtl w:val="0"/>
        </w:rPr>
        <w:t xml:space="preserve">Ce niveau de prix apparaît cohérent pour nous, car il respecte à la fois la valeur de l’entreprise et notre capacité de remboursement. Il permet donc d’envisager une reprise réaliste, sans mettre en danger l’équilibre financier de l’entreprise après l’acquisition.</w:t>
      </w:r>
      <w:r w:rsidDel="00000000" w:rsidR="00000000" w:rsidRPr="00000000">
        <w:rPr>
          <w:rtl w:val="0"/>
        </w:rPr>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hd w:fill="ffffff" w:val="clear"/>
        <w:spacing w:after="60" w:before="6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conclure, l’analyse globale de Daudruy Van Cauwenberghe met en évidence une entreprise solide, disposant de nombreux atouts dans le cadre d’un projet de reprise. Son ancienneté, son savoir-faire technique, sa diversification d’activités ainsi que son positionnement dans des secteurs porteurs comme le recyclage et les biocarburants constituent des éléments rassurants.</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L’entreprise bénéficie également d’un ancrage stratégique à Dunkerque, d’une clientèle diversifiée et fidèle, ainsi que d’une organisation intégrée qui lui permet de sécuriser une partie de ses approvisionnements et de ses débouchés. Sa rentabilité et sa capacité à générer des flux de trésorerie suffisants confirment la faisabilité financière du projet de reprise.</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Cependant, certains points de vigilance doivent être pris en compte. La dépendance au dirigeant actuel, la volatilité des prix des matières premières ainsi que la difficulté croissante d’accès aux ressources issues du recyclage représentent des enjeux importants pour l’avenir. Ces éléments nécessitent une attention particulière afin de sécuriser la pérennité de l’activité.</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Au regard de l’ensemble de ces éléments, le projet de reprise apparaît cohérent et envisageable, à condition de maintenir les équilibres actuels et d’anticiper les évolutions du marché. Le prix estimé autour de 84 millions d’euros semble en adéquation avec la valeur de l’entreprise et sa capacité de remboursement.</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ind w:right="-589.7244094488178"/>
        <w:rPr>
          <w:rFonts w:ascii="Times New Roman" w:cs="Times New Roman" w:eastAsia="Times New Roman" w:hAnsi="Times New Roman"/>
          <w:color w:val="0d0d0d"/>
          <w:sz w:val="24"/>
          <w:szCs w:val="24"/>
        </w:rPr>
      </w:pPr>
      <w:r w:rsidDel="00000000" w:rsidR="00000000" w:rsidRPr="00000000">
        <w:rPr>
          <w:rFonts w:ascii="Times New Roman" w:cs="Times New Roman" w:eastAsia="Times New Roman" w:hAnsi="Times New Roman"/>
          <w:color w:val="0d0d0d"/>
          <w:sz w:val="24"/>
          <w:szCs w:val="24"/>
          <w:rtl w:val="0"/>
        </w:rPr>
        <w:t xml:space="preserve">Pour nous, cette reprise représente une opportunité intéressante, reposant sur un modèle économique solide, mais qui nécessitera une gestion rigoureuse et une capacité d’adaptation face aux enjeux futurs du secteur.</w:t>
      </w:r>
    </w:p>
    <w:p w:rsidR="00000000" w:rsidDel="00000000" w:rsidP="00000000" w:rsidRDefault="00000000" w:rsidRPr="00000000" w14:paraId="0000023C">
      <w:pPr>
        <w:spacing w:after="240" w:before="240" w:lineRule="auto"/>
        <w:ind w:right="-589.7244094488178"/>
        <w:rPr>
          <w:rFonts w:ascii="Times New Roman" w:cs="Times New Roman" w:eastAsia="Times New Roman" w:hAnsi="Times New Roman"/>
          <w:sz w:val="24"/>
          <w:szCs w:val="24"/>
        </w:rPr>
      </w:pPr>
      <w:r w:rsidDel="00000000" w:rsidR="00000000" w:rsidRPr="00000000">
        <w:rPr>
          <w:rtl w:val="0"/>
        </w:rPr>
      </w:r>
    </w:p>
    <w:sectPr>
      <w:pgSz w:h="16834" w:w="11909" w:orient="portrait"/>
      <w:pgMar w:bottom="1440" w:top="708.6614173228347" w:left="850.3937007874016"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